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3A2003" w:rsidP="003A2003">
      <w:bookmarkStart w:id="0" w:name="_GoBack"/>
      <w:bookmarkEnd w:id="0"/>
    </w:p>
    <w:p w:rsidR="003A2003" w:rsidRDefault="003A2003" w:rsidP="003A2003"/>
    <w:p w:rsidR="003A2003" w:rsidRDefault="003A2003" w:rsidP="003A2003"/>
    <w:p w:rsidR="003A2003" w:rsidRDefault="003A2003" w:rsidP="003A2003"/>
    <w:p w:rsidR="003A2003" w:rsidRPr="00AC1248" w:rsidRDefault="00AC1248" w:rsidP="003A2003">
      <w:pPr>
        <w:pStyle w:val="TitleDocument"/>
        <w:jc w:val="center"/>
        <w:rPr>
          <w:sz w:val="44"/>
          <w:szCs w:val="44"/>
        </w:rPr>
      </w:pPr>
      <w:r w:rsidRPr="00AC1248">
        <w:rPr>
          <w:sz w:val="44"/>
          <w:szCs w:val="44"/>
        </w:rPr>
        <w:t>Program Management Committee</w:t>
      </w:r>
    </w:p>
    <w:p w:rsidR="003A2003" w:rsidRDefault="00CF6E31" w:rsidP="003A2003">
      <w:pPr>
        <w:pStyle w:val="TitleDocument"/>
        <w:jc w:val="center"/>
        <w:rPr>
          <w:sz w:val="56"/>
        </w:rPr>
      </w:pPr>
      <w:r>
        <w:rPr>
          <w:sz w:val="56"/>
        </w:rPr>
        <w:t>Issue Brief: 2</w:t>
      </w:r>
      <w:r w:rsidR="00AC1248">
        <w:rPr>
          <w:sz w:val="56"/>
        </w:rPr>
        <w:t>-</w:t>
      </w:r>
      <w:r w:rsidR="00B93309">
        <w:rPr>
          <w:sz w:val="56"/>
        </w:rPr>
        <w:t>3</w:t>
      </w:r>
    </w:p>
    <w:p w:rsidR="00470571" w:rsidRDefault="00470571" w:rsidP="003A2003">
      <w:pPr>
        <w:pStyle w:val="TitleDocument"/>
        <w:jc w:val="center"/>
        <w:rPr>
          <w:sz w:val="56"/>
        </w:rPr>
      </w:pPr>
    </w:p>
    <w:p w:rsidR="00AC1248" w:rsidRDefault="00B93309" w:rsidP="003A2003">
      <w:pPr>
        <w:pStyle w:val="TitleDocument"/>
        <w:jc w:val="center"/>
        <w:rPr>
          <w:sz w:val="56"/>
        </w:rPr>
      </w:pPr>
      <w:r>
        <w:rPr>
          <w:sz w:val="56"/>
        </w:rPr>
        <w:t>Report to the ILRI Board</w:t>
      </w:r>
    </w:p>
    <w:p w:rsidR="00B93309" w:rsidRDefault="00B93309" w:rsidP="003A2003">
      <w:pPr>
        <w:pStyle w:val="TitleDocument"/>
        <w:jc w:val="center"/>
        <w:rPr>
          <w:sz w:val="56"/>
        </w:rPr>
      </w:pPr>
      <w:r>
        <w:rPr>
          <w:sz w:val="56"/>
        </w:rPr>
        <w:t>April 2017</w:t>
      </w:r>
    </w:p>
    <w:p w:rsidR="003A2003" w:rsidRDefault="003A2003" w:rsidP="003A2003">
      <w:pPr>
        <w:pStyle w:val="TitleDocument"/>
        <w:jc w:val="center"/>
        <w:rPr>
          <w:sz w:val="56"/>
        </w:rPr>
      </w:pPr>
    </w:p>
    <w:p w:rsidR="001E3CC2" w:rsidRPr="004A19B0" w:rsidRDefault="001E3CC2" w:rsidP="003A2003"/>
    <w:p w:rsidR="003A2003" w:rsidRDefault="003A2003">
      <w:r>
        <w:rPr>
          <w:rFonts w:ascii="Century Schoolbook" w:hAnsi="Century Schoolbook"/>
          <w:noProof/>
          <w:color w:val="4F271C"/>
          <w:sz w:val="32"/>
          <w:szCs w:val="32"/>
          <w:lang w:eastAsia="en-GB"/>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4A8E" w:rsidRDefault="00714A8E" w:rsidP="003A2003">
                            <w:pPr>
                              <w:jc w:val="center"/>
                            </w:pPr>
                          </w:p>
                          <w:p w:rsidR="00714A8E" w:rsidRDefault="00470571" w:rsidP="003A2003">
                            <w:pPr>
                              <w:jc w:val="center"/>
                            </w:pPr>
                            <w:r>
                              <w:t>7</w:t>
                            </w:r>
                            <w:r w:rsidR="00851F7A">
                              <w:t xml:space="preserve"> May</w:t>
                            </w:r>
                            <w:r w:rsidR="00714A8E">
                              <w:t xml:space="preserve">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714A8E" w:rsidRDefault="00714A8E" w:rsidP="003A2003">
                      <w:pPr>
                        <w:jc w:val="center"/>
                      </w:pPr>
                    </w:p>
                    <w:p w:rsidR="00714A8E" w:rsidRDefault="00470571" w:rsidP="003A2003">
                      <w:pPr>
                        <w:jc w:val="center"/>
                      </w:pPr>
                      <w:r>
                        <w:t>7</w:t>
                      </w:r>
                      <w:r w:rsidR="00851F7A">
                        <w:t xml:space="preserve"> May</w:t>
                      </w:r>
                      <w:r w:rsidR="00714A8E">
                        <w:t xml:space="preserve"> 2017</w:t>
                      </w:r>
                    </w:p>
                  </w:txbxContent>
                </v:textbox>
                <w10:wrap anchorx="margin" anchory="margin"/>
              </v:rect>
            </w:pict>
          </mc:Fallback>
        </mc:AlternateContent>
      </w:r>
      <w:r>
        <w:br w:type="page"/>
      </w:r>
    </w:p>
    <w:p w:rsidR="00000752" w:rsidRDefault="00000752" w:rsidP="00000752">
      <w:pPr>
        <w:rPr>
          <w:rFonts w:cs="Times New Roman"/>
          <w:color w:val="auto"/>
          <w:sz w:val="20"/>
          <w:szCs w:val="20"/>
          <w:lang w:eastAsia="en-US"/>
        </w:rPr>
      </w:pPr>
      <w:r w:rsidRPr="00000752">
        <w:rPr>
          <w:sz w:val="20"/>
          <w:szCs w:val="20"/>
        </w:rPr>
        <w:lastRenderedPageBreak/>
        <w:t>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rsidR="00B63693" w:rsidRPr="00B63693" w:rsidRDefault="00B63693" w:rsidP="00B63693">
      <w:pPr>
        <w:spacing w:line="240" w:lineRule="auto"/>
        <w:rPr>
          <w:rFonts w:cs="Times New Roman"/>
          <w:color w:val="auto"/>
          <w:sz w:val="20"/>
          <w:szCs w:val="20"/>
        </w:rPr>
      </w:pPr>
    </w:p>
    <w:p w:rsidR="00B63693" w:rsidRPr="00B63693" w:rsidRDefault="00B63693" w:rsidP="00B63693">
      <w:pPr>
        <w:pStyle w:val="ILRIBlurb"/>
        <w:spacing w:line="240" w:lineRule="auto"/>
        <w:rPr>
          <w:sz w:val="20"/>
          <w:szCs w:val="20"/>
        </w:rPr>
      </w:pPr>
    </w:p>
    <w:p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3A2003">
      <w:pPr>
        <w:pStyle w:val="ILRIBlurb"/>
        <w:rPr>
          <w:sz w:val="20"/>
          <w:szCs w:val="20"/>
        </w:rPr>
      </w:pPr>
    </w:p>
    <w:p w:rsidR="001E3CC2" w:rsidRPr="00B63693" w:rsidRDefault="001E3CC2" w:rsidP="003A2003">
      <w:pPr>
        <w:rPr>
          <w:sz w:val="20"/>
          <w:szCs w:val="20"/>
        </w:rPr>
      </w:pPr>
    </w:p>
    <w:p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3A2003">
      <w:pPr>
        <w:rPr>
          <w:sz w:val="20"/>
          <w:szCs w:val="20"/>
        </w:rPr>
      </w:pP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DB5BE1">
      <w:pPr>
        <w:rPr>
          <w:sz w:val="20"/>
          <w:szCs w:val="20"/>
        </w:rPr>
      </w:pPr>
    </w:p>
    <w:p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eastAsia="en-GB"/>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2E5614BF"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eastAsia="en-GB"/>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eastAsia="en-GB"/>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AC1248" w:rsidRPr="007F479C" w:rsidRDefault="00AC1248" w:rsidP="00AC1248">
      <w:pPr>
        <w:tabs>
          <w:tab w:val="left" w:pos="6210"/>
        </w:tabs>
        <w:spacing w:after="120" w:line="240" w:lineRule="auto"/>
        <w:jc w:val="center"/>
        <w:rPr>
          <w:b/>
          <w:sz w:val="28"/>
          <w:szCs w:val="28"/>
        </w:rPr>
      </w:pPr>
      <w:r w:rsidRPr="007F479C">
        <w:rPr>
          <w:b/>
          <w:sz w:val="28"/>
          <w:szCs w:val="28"/>
        </w:rPr>
        <w:lastRenderedPageBreak/>
        <w:t>Livestock CRP</w:t>
      </w:r>
    </w:p>
    <w:p w:rsidR="00BC1204" w:rsidRDefault="00BC1204" w:rsidP="00AC1248">
      <w:pPr>
        <w:jc w:val="center"/>
        <w:rPr>
          <w:b/>
          <w:sz w:val="28"/>
          <w:szCs w:val="28"/>
        </w:rPr>
      </w:pPr>
      <w:r>
        <w:rPr>
          <w:b/>
          <w:sz w:val="28"/>
          <w:szCs w:val="28"/>
        </w:rPr>
        <w:t>Report to the ILRI Board - April 2017</w:t>
      </w:r>
    </w:p>
    <w:p w:rsidR="00AC1248" w:rsidRPr="00D30313" w:rsidRDefault="00AC1248" w:rsidP="00AC1248">
      <w:pPr>
        <w:spacing w:after="0" w:line="240" w:lineRule="auto"/>
        <w:rPr>
          <w:rFonts w:eastAsia="Times New Roman" w:cs="Times New Roman"/>
          <w:color w:val="auto"/>
          <w:sz w:val="32"/>
          <w:szCs w:val="34"/>
          <w:lang w:val="en-US" w:eastAsia="en-US"/>
        </w:rPr>
      </w:pPr>
    </w:p>
    <w:p w:rsidR="00AC1248" w:rsidRPr="00D30313" w:rsidRDefault="00AC1248" w:rsidP="00AC1248">
      <w:pPr>
        <w:shd w:val="clear" w:color="auto" w:fill="D9D9D9"/>
        <w:contextualSpacing/>
        <w:jc w:val="both"/>
        <w:rPr>
          <w:rFonts w:eastAsia="Calibri" w:cs="Calibri"/>
          <w:b/>
          <w:color w:val="auto"/>
          <w:sz w:val="28"/>
          <w:szCs w:val="28"/>
          <w:lang w:val="en-US" w:eastAsia="en-US"/>
        </w:rPr>
      </w:pPr>
      <w:r w:rsidRPr="00D30313">
        <w:rPr>
          <w:rFonts w:eastAsia="Calibri" w:cs="Calibri"/>
          <w:b/>
          <w:color w:val="auto"/>
          <w:sz w:val="28"/>
          <w:szCs w:val="28"/>
          <w:lang w:val="en-US" w:eastAsia="en-US"/>
        </w:rPr>
        <w:t xml:space="preserve">The </w:t>
      </w:r>
      <w:r>
        <w:rPr>
          <w:rFonts w:eastAsia="Calibri" w:cs="Calibri"/>
          <w:b/>
          <w:color w:val="auto"/>
          <w:sz w:val="28"/>
          <w:szCs w:val="28"/>
          <w:lang w:val="en-US" w:eastAsia="en-US"/>
        </w:rPr>
        <w:t>I</w:t>
      </w:r>
      <w:r w:rsidRPr="00D30313">
        <w:rPr>
          <w:rFonts w:eastAsia="Calibri" w:cs="Calibri"/>
          <w:b/>
          <w:color w:val="auto"/>
          <w:sz w:val="28"/>
          <w:szCs w:val="28"/>
          <w:lang w:val="en-US" w:eastAsia="en-US"/>
        </w:rPr>
        <w:t>ssue</w:t>
      </w:r>
    </w:p>
    <w:p w:rsidR="00AC1248" w:rsidRDefault="00AC1248" w:rsidP="00AC1248">
      <w:pPr>
        <w:spacing w:after="0" w:line="240" w:lineRule="auto"/>
        <w:jc w:val="both"/>
        <w:rPr>
          <w:rFonts w:eastAsia="Times New Roman" w:cs="Times New Roman"/>
          <w:b/>
          <w:color w:val="auto"/>
          <w:lang w:val="en-US" w:eastAsia="en-US"/>
        </w:rPr>
      </w:pPr>
    </w:p>
    <w:p w:rsidR="00BC1204" w:rsidRDefault="00BC1204" w:rsidP="00470571">
      <w:r>
        <w:t>The Program Committee of the ILRI Board requests a report from Livestock CRP director at each of its meetings twice a year. The written report submitted two weeks before the meeting in April 2017 is attached in annex. This brief</w:t>
      </w:r>
      <w:r w:rsidR="00777630">
        <w:t xml:space="preserve"> presents the minutes for the CRP session during the</w:t>
      </w:r>
      <w:r>
        <w:t xml:space="preserve"> Program Committee.</w:t>
      </w:r>
    </w:p>
    <w:p w:rsidR="00BC1204" w:rsidRPr="00BC1204" w:rsidRDefault="00BC1204" w:rsidP="00BC1204">
      <w:pPr>
        <w:shd w:val="clear" w:color="auto" w:fill="D9D9D9"/>
        <w:jc w:val="both"/>
        <w:rPr>
          <w:rFonts w:eastAsia="Calibri" w:cs="Calibri"/>
          <w:b/>
          <w:color w:val="auto"/>
          <w:sz w:val="28"/>
          <w:szCs w:val="28"/>
          <w:lang w:val="en-US" w:eastAsia="en-US"/>
        </w:rPr>
      </w:pPr>
      <w:r>
        <w:rPr>
          <w:rFonts w:eastAsia="Calibri" w:cs="Calibri"/>
          <w:b/>
          <w:color w:val="auto"/>
          <w:sz w:val="28"/>
          <w:szCs w:val="28"/>
          <w:lang w:val="en-US" w:eastAsia="en-US"/>
        </w:rPr>
        <w:t>Board summary</w:t>
      </w:r>
    </w:p>
    <w:p w:rsidR="00777630" w:rsidRDefault="00777630" w:rsidP="00777630">
      <w:pPr>
        <w:pStyle w:val="Default"/>
        <w:rPr>
          <w:rFonts w:asciiTheme="minorHAnsi" w:hAnsiTheme="minorHAnsi"/>
          <w:b/>
          <w:sz w:val="22"/>
          <w:szCs w:val="22"/>
        </w:rPr>
      </w:pPr>
      <w:r w:rsidRPr="006C568E">
        <w:rPr>
          <w:rFonts w:asciiTheme="minorHAnsi" w:hAnsiTheme="minorHAnsi"/>
          <w:b/>
          <w:sz w:val="22"/>
          <w:szCs w:val="22"/>
        </w:rPr>
        <w:t xml:space="preserve">Implementation of Livestock CRP </w:t>
      </w:r>
    </w:p>
    <w:p w:rsidR="00777630" w:rsidRDefault="00777630" w:rsidP="00777630">
      <w:pPr>
        <w:pStyle w:val="Default"/>
        <w:rPr>
          <w:rFonts w:asciiTheme="minorHAnsi" w:hAnsiTheme="minorHAnsi"/>
          <w:sz w:val="22"/>
          <w:szCs w:val="22"/>
        </w:rPr>
      </w:pPr>
      <w:r>
        <w:rPr>
          <w:rFonts w:asciiTheme="minorHAnsi" w:hAnsiTheme="minorHAnsi"/>
          <w:sz w:val="22"/>
          <w:szCs w:val="22"/>
        </w:rPr>
        <w:t>The director of the Livestock CRP, Tom Randolph provided an update on the CRP, including:</w:t>
      </w:r>
    </w:p>
    <w:p w:rsidR="00777630" w:rsidRPr="00B540A1" w:rsidRDefault="00777630" w:rsidP="00777630">
      <w:pPr>
        <w:pStyle w:val="Default"/>
        <w:rPr>
          <w:rFonts w:asciiTheme="minorHAnsi" w:hAnsiTheme="minorHAnsi"/>
          <w:sz w:val="22"/>
          <w:szCs w:val="22"/>
        </w:rPr>
      </w:pPr>
    </w:p>
    <w:p w:rsidR="00777630" w:rsidRDefault="00777630" w:rsidP="00777630">
      <w:pPr>
        <w:pStyle w:val="Default"/>
        <w:rPr>
          <w:rFonts w:asciiTheme="minorHAnsi" w:hAnsiTheme="minorHAnsi"/>
          <w:sz w:val="22"/>
          <w:szCs w:val="22"/>
        </w:rPr>
      </w:pPr>
      <w:r w:rsidRPr="00B540A1">
        <w:rPr>
          <w:rFonts w:asciiTheme="minorHAnsi" w:hAnsiTheme="minorHAnsi"/>
          <w:sz w:val="22"/>
          <w:szCs w:val="22"/>
        </w:rPr>
        <w:t>1.</w:t>
      </w:r>
      <w:r w:rsidRPr="00B540A1">
        <w:rPr>
          <w:rFonts w:asciiTheme="minorHAnsi" w:hAnsiTheme="minorHAnsi"/>
          <w:sz w:val="22"/>
          <w:szCs w:val="22"/>
        </w:rPr>
        <w:tab/>
        <w:t>Closing the Livestock &amp; Fish CRP</w:t>
      </w:r>
    </w:p>
    <w:p w:rsidR="00777630" w:rsidRPr="00B540A1" w:rsidRDefault="00777630" w:rsidP="00777630">
      <w:pPr>
        <w:pStyle w:val="Default"/>
        <w:rPr>
          <w:rFonts w:asciiTheme="minorHAnsi" w:hAnsiTheme="minorHAnsi"/>
          <w:sz w:val="22"/>
          <w:szCs w:val="22"/>
        </w:rPr>
      </w:pPr>
      <w:r w:rsidRPr="00B540A1">
        <w:rPr>
          <w:rFonts w:asciiTheme="minorHAnsi" w:hAnsiTheme="minorHAnsi"/>
          <w:sz w:val="22"/>
          <w:szCs w:val="22"/>
        </w:rPr>
        <w:t>The Livestock &amp; Fish CRP was originally planned to be a 12-year program of four 3-year funding cycles, but in the end ran for 5 years on an initial 3-year cycle with a 2-year extension, covering 2012-2016.</w:t>
      </w:r>
    </w:p>
    <w:p w:rsidR="00777630" w:rsidRDefault="00777630" w:rsidP="00777630">
      <w:pPr>
        <w:pStyle w:val="Default"/>
        <w:ind w:left="720"/>
        <w:rPr>
          <w:rFonts w:asciiTheme="minorHAnsi" w:hAnsiTheme="minorHAnsi"/>
          <w:sz w:val="22"/>
          <w:szCs w:val="22"/>
        </w:rPr>
      </w:pPr>
      <w:r w:rsidRPr="00B540A1">
        <w:rPr>
          <w:rFonts w:asciiTheme="minorHAnsi" w:hAnsiTheme="minorHAnsi"/>
          <w:sz w:val="22"/>
          <w:szCs w:val="22"/>
        </w:rPr>
        <w:t>1.1</w:t>
      </w:r>
      <w:r w:rsidRPr="00B540A1">
        <w:rPr>
          <w:rFonts w:asciiTheme="minorHAnsi" w:hAnsiTheme="minorHAnsi"/>
          <w:sz w:val="22"/>
          <w:szCs w:val="22"/>
        </w:rPr>
        <w:tab/>
        <w:t>Final financial situation</w:t>
      </w:r>
    </w:p>
    <w:p w:rsidR="00777630" w:rsidRDefault="00777630" w:rsidP="00777630">
      <w:pPr>
        <w:pStyle w:val="Default"/>
        <w:ind w:left="720"/>
        <w:rPr>
          <w:rFonts w:asciiTheme="minorHAnsi" w:hAnsiTheme="minorHAnsi"/>
          <w:sz w:val="22"/>
          <w:szCs w:val="22"/>
        </w:rPr>
      </w:pPr>
      <w:r>
        <w:rPr>
          <w:rFonts w:asciiTheme="minorHAnsi" w:hAnsiTheme="minorHAnsi"/>
          <w:sz w:val="22"/>
          <w:szCs w:val="22"/>
        </w:rPr>
        <w:t xml:space="preserve">A summary of </w:t>
      </w:r>
      <w:r w:rsidRPr="00B540A1">
        <w:rPr>
          <w:rFonts w:asciiTheme="minorHAnsi" w:hAnsiTheme="minorHAnsi"/>
          <w:sz w:val="22"/>
          <w:szCs w:val="22"/>
        </w:rPr>
        <w:t>annual funding levels over the five year program</w:t>
      </w:r>
      <w:r>
        <w:rPr>
          <w:rFonts w:asciiTheme="minorHAnsi" w:hAnsiTheme="minorHAnsi"/>
          <w:sz w:val="22"/>
          <w:szCs w:val="22"/>
        </w:rPr>
        <w:t xml:space="preserve"> was provided, </w:t>
      </w:r>
      <w:r w:rsidRPr="00B540A1">
        <w:rPr>
          <w:rFonts w:asciiTheme="minorHAnsi" w:hAnsiTheme="minorHAnsi"/>
          <w:sz w:val="22"/>
          <w:szCs w:val="22"/>
        </w:rPr>
        <w:t>highlight</w:t>
      </w:r>
      <w:r>
        <w:rPr>
          <w:rFonts w:asciiTheme="minorHAnsi" w:hAnsiTheme="minorHAnsi"/>
          <w:sz w:val="22"/>
          <w:szCs w:val="22"/>
        </w:rPr>
        <w:t>ing</w:t>
      </w:r>
      <w:r w:rsidRPr="00B540A1">
        <w:rPr>
          <w:rFonts w:asciiTheme="minorHAnsi" w:hAnsiTheme="minorHAnsi"/>
          <w:sz w:val="22"/>
          <w:szCs w:val="22"/>
        </w:rPr>
        <w:t xml:space="preserve"> the variation that the 1st phase of CRPs faced, but which was less dramatic for the Livestock &amp; Fish CRP due to its strong W2 funding.</w:t>
      </w:r>
    </w:p>
    <w:p w:rsidR="00777630" w:rsidRPr="00B540A1" w:rsidRDefault="00777630" w:rsidP="00777630">
      <w:pPr>
        <w:pStyle w:val="Default"/>
        <w:ind w:left="720"/>
        <w:rPr>
          <w:rFonts w:asciiTheme="minorHAnsi" w:hAnsiTheme="minorHAnsi"/>
          <w:sz w:val="22"/>
          <w:szCs w:val="22"/>
        </w:rPr>
      </w:pPr>
    </w:p>
    <w:p w:rsidR="00777630" w:rsidRDefault="00777630" w:rsidP="00777630">
      <w:pPr>
        <w:pStyle w:val="Default"/>
        <w:ind w:left="720"/>
        <w:rPr>
          <w:rFonts w:asciiTheme="minorHAnsi" w:hAnsiTheme="minorHAnsi"/>
          <w:sz w:val="22"/>
          <w:szCs w:val="22"/>
        </w:rPr>
      </w:pPr>
      <w:r w:rsidRPr="00B540A1">
        <w:rPr>
          <w:rFonts w:asciiTheme="minorHAnsi" w:hAnsiTheme="minorHAnsi"/>
          <w:sz w:val="22"/>
          <w:szCs w:val="22"/>
        </w:rPr>
        <w:t>1.2</w:t>
      </w:r>
      <w:r w:rsidRPr="00B540A1">
        <w:rPr>
          <w:rFonts w:asciiTheme="minorHAnsi" w:hAnsiTheme="minorHAnsi"/>
          <w:sz w:val="22"/>
          <w:szCs w:val="22"/>
        </w:rPr>
        <w:tab/>
        <w:t>Science &amp; Partnership Advisory Committee</w:t>
      </w:r>
      <w:r>
        <w:rPr>
          <w:rFonts w:asciiTheme="minorHAnsi" w:hAnsiTheme="minorHAnsi"/>
          <w:sz w:val="22"/>
          <w:szCs w:val="22"/>
        </w:rPr>
        <w:t xml:space="preserve"> (SPAC)</w:t>
      </w:r>
    </w:p>
    <w:p w:rsidR="00777630" w:rsidRDefault="00777630" w:rsidP="00777630">
      <w:pPr>
        <w:pStyle w:val="Default"/>
        <w:ind w:left="720"/>
        <w:rPr>
          <w:rFonts w:asciiTheme="minorHAnsi" w:hAnsiTheme="minorHAnsi"/>
          <w:sz w:val="22"/>
          <w:szCs w:val="22"/>
        </w:rPr>
      </w:pPr>
      <w:r w:rsidRPr="00B540A1">
        <w:rPr>
          <w:rFonts w:asciiTheme="minorHAnsi" w:hAnsiTheme="minorHAnsi"/>
          <w:sz w:val="22"/>
          <w:szCs w:val="22"/>
        </w:rPr>
        <w:t xml:space="preserve">The SPAC held its final meeting in December </w:t>
      </w:r>
      <w:r>
        <w:rPr>
          <w:rFonts w:asciiTheme="minorHAnsi" w:hAnsiTheme="minorHAnsi"/>
          <w:sz w:val="22"/>
          <w:szCs w:val="22"/>
        </w:rPr>
        <w:t xml:space="preserve">2016 including </w:t>
      </w:r>
      <w:r w:rsidRPr="00B540A1">
        <w:rPr>
          <w:rFonts w:asciiTheme="minorHAnsi" w:hAnsiTheme="minorHAnsi"/>
          <w:sz w:val="22"/>
          <w:szCs w:val="22"/>
        </w:rPr>
        <w:t xml:space="preserve">progress reporting sessions with flagship teams and a joint session with the CRP management committee. Their report </w:t>
      </w:r>
      <w:r>
        <w:rPr>
          <w:rFonts w:asciiTheme="minorHAnsi" w:hAnsiTheme="minorHAnsi"/>
          <w:sz w:val="22"/>
          <w:szCs w:val="22"/>
        </w:rPr>
        <w:t xml:space="preserve">was provided to the Board. </w:t>
      </w:r>
    </w:p>
    <w:p w:rsidR="00777630" w:rsidRPr="00B540A1" w:rsidRDefault="00777630" w:rsidP="00777630">
      <w:pPr>
        <w:pStyle w:val="Default"/>
        <w:ind w:left="720"/>
        <w:rPr>
          <w:rFonts w:asciiTheme="minorHAnsi" w:hAnsiTheme="minorHAnsi"/>
          <w:sz w:val="22"/>
          <w:szCs w:val="22"/>
        </w:rPr>
      </w:pPr>
    </w:p>
    <w:p w:rsidR="00777630" w:rsidRDefault="00777630" w:rsidP="00777630">
      <w:pPr>
        <w:pStyle w:val="Default"/>
        <w:ind w:left="720"/>
        <w:rPr>
          <w:rFonts w:asciiTheme="minorHAnsi" w:hAnsiTheme="minorHAnsi"/>
          <w:sz w:val="22"/>
          <w:szCs w:val="22"/>
        </w:rPr>
      </w:pPr>
      <w:r w:rsidRPr="00B540A1">
        <w:rPr>
          <w:rFonts w:asciiTheme="minorHAnsi" w:hAnsiTheme="minorHAnsi"/>
          <w:sz w:val="22"/>
          <w:szCs w:val="22"/>
        </w:rPr>
        <w:t>1.3</w:t>
      </w:r>
      <w:r w:rsidRPr="00B540A1">
        <w:rPr>
          <w:rFonts w:asciiTheme="minorHAnsi" w:hAnsiTheme="minorHAnsi"/>
          <w:sz w:val="22"/>
          <w:szCs w:val="22"/>
        </w:rPr>
        <w:tab/>
        <w:t>Annual report</w:t>
      </w:r>
    </w:p>
    <w:p w:rsidR="00777630" w:rsidRDefault="00777630" w:rsidP="00777630">
      <w:pPr>
        <w:pStyle w:val="Default"/>
        <w:ind w:left="720"/>
        <w:rPr>
          <w:rFonts w:asciiTheme="minorHAnsi" w:hAnsiTheme="minorHAnsi"/>
          <w:sz w:val="22"/>
          <w:szCs w:val="22"/>
        </w:rPr>
      </w:pPr>
      <w:r>
        <w:rPr>
          <w:rFonts w:asciiTheme="minorHAnsi" w:hAnsiTheme="minorHAnsi"/>
          <w:sz w:val="22"/>
          <w:szCs w:val="22"/>
        </w:rPr>
        <w:t>The 2016 report had been circulated to the Board prior to its submission to the System Management Office on 18 April 2016.</w:t>
      </w:r>
    </w:p>
    <w:p w:rsidR="00777630" w:rsidRPr="00B540A1" w:rsidRDefault="00777630" w:rsidP="00777630">
      <w:pPr>
        <w:pStyle w:val="Default"/>
        <w:ind w:left="720"/>
        <w:rPr>
          <w:rFonts w:asciiTheme="minorHAnsi" w:hAnsiTheme="minorHAnsi"/>
          <w:sz w:val="22"/>
          <w:szCs w:val="22"/>
        </w:rPr>
      </w:pPr>
    </w:p>
    <w:p w:rsidR="00777630" w:rsidRDefault="00777630" w:rsidP="00777630">
      <w:pPr>
        <w:pStyle w:val="Default"/>
        <w:ind w:left="720"/>
        <w:rPr>
          <w:rFonts w:asciiTheme="minorHAnsi" w:hAnsiTheme="minorHAnsi"/>
          <w:sz w:val="22"/>
          <w:szCs w:val="22"/>
        </w:rPr>
      </w:pPr>
      <w:r w:rsidRPr="00B540A1">
        <w:rPr>
          <w:rFonts w:asciiTheme="minorHAnsi" w:hAnsiTheme="minorHAnsi"/>
          <w:sz w:val="22"/>
          <w:szCs w:val="22"/>
        </w:rPr>
        <w:t>1.4</w:t>
      </w:r>
      <w:r w:rsidRPr="00B540A1">
        <w:rPr>
          <w:rFonts w:asciiTheme="minorHAnsi" w:hAnsiTheme="minorHAnsi"/>
          <w:sz w:val="22"/>
          <w:szCs w:val="22"/>
        </w:rPr>
        <w:tab/>
        <w:t>Self-evaluation</w:t>
      </w:r>
    </w:p>
    <w:p w:rsidR="00777630" w:rsidRDefault="00777630" w:rsidP="00777630">
      <w:pPr>
        <w:pStyle w:val="Default"/>
        <w:ind w:left="720"/>
        <w:rPr>
          <w:rFonts w:asciiTheme="minorHAnsi" w:hAnsiTheme="minorHAnsi"/>
          <w:sz w:val="22"/>
          <w:szCs w:val="22"/>
        </w:rPr>
      </w:pPr>
      <w:r w:rsidRPr="00B540A1">
        <w:rPr>
          <w:rFonts w:asciiTheme="minorHAnsi" w:hAnsiTheme="minorHAnsi"/>
          <w:sz w:val="22"/>
          <w:szCs w:val="22"/>
        </w:rPr>
        <w:t>The CRP Management Committee held its final meeting in December</w:t>
      </w:r>
      <w:r>
        <w:rPr>
          <w:rFonts w:asciiTheme="minorHAnsi" w:hAnsiTheme="minorHAnsi"/>
          <w:sz w:val="22"/>
          <w:szCs w:val="22"/>
        </w:rPr>
        <w:t xml:space="preserve"> including a</w:t>
      </w:r>
      <w:r w:rsidRPr="00B540A1">
        <w:rPr>
          <w:rFonts w:asciiTheme="minorHAnsi" w:hAnsiTheme="minorHAnsi"/>
          <w:sz w:val="22"/>
          <w:szCs w:val="22"/>
        </w:rPr>
        <w:t xml:space="preserve"> self-evaluation of the program. </w:t>
      </w:r>
      <w:r>
        <w:rPr>
          <w:rFonts w:asciiTheme="minorHAnsi" w:hAnsiTheme="minorHAnsi"/>
          <w:sz w:val="22"/>
          <w:szCs w:val="22"/>
        </w:rPr>
        <w:t xml:space="preserve">Many of </w:t>
      </w:r>
      <w:r w:rsidRPr="00B540A1">
        <w:rPr>
          <w:rFonts w:asciiTheme="minorHAnsi" w:hAnsiTheme="minorHAnsi"/>
          <w:sz w:val="22"/>
          <w:szCs w:val="22"/>
        </w:rPr>
        <w:t>the points raised echoed those already highlighted in the external evaluations, notably with respect to achieving momentum in the target value chains and linking the work there to the research agendas in the other flagships. The CRP’s partnership model was considered healthy and ILRI’s communications support to the CRP, including meeting facilitation and producing a steady stream of blogposts, was highlighted as exemplary by the partners.</w:t>
      </w:r>
    </w:p>
    <w:p w:rsidR="00777630" w:rsidRPr="00B540A1" w:rsidRDefault="00777630" w:rsidP="00777630">
      <w:pPr>
        <w:pStyle w:val="Default"/>
        <w:ind w:left="720"/>
        <w:rPr>
          <w:rFonts w:asciiTheme="minorHAnsi" w:hAnsiTheme="minorHAnsi"/>
          <w:sz w:val="22"/>
          <w:szCs w:val="22"/>
        </w:rPr>
      </w:pPr>
    </w:p>
    <w:p w:rsidR="00777630" w:rsidRDefault="00777630" w:rsidP="00777630">
      <w:pPr>
        <w:pStyle w:val="Default"/>
        <w:rPr>
          <w:rFonts w:asciiTheme="minorHAnsi" w:hAnsiTheme="minorHAnsi"/>
          <w:sz w:val="22"/>
          <w:szCs w:val="22"/>
        </w:rPr>
      </w:pPr>
      <w:r w:rsidRPr="00B540A1">
        <w:rPr>
          <w:rFonts w:asciiTheme="minorHAnsi" w:hAnsiTheme="minorHAnsi"/>
          <w:sz w:val="22"/>
          <w:szCs w:val="22"/>
        </w:rPr>
        <w:t>2.</w:t>
      </w:r>
      <w:r w:rsidRPr="00B540A1">
        <w:rPr>
          <w:rFonts w:asciiTheme="minorHAnsi" w:hAnsiTheme="minorHAnsi"/>
          <w:sz w:val="22"/>
          <w:szCs w:val="22"/>
        </w:rPr>
        <w:tab/>
        <w:t xml:space="preserve">Plan of Work &amp; Budget </w:t>
      </w:r>
      <w:r>
        <w:rPr>
          <w:rFonts w:asciiTheme="minorHAnsi" w:hAnsiTheme="minorHAnsi"/>
          <w:sz w:val="22"/>
          <w:szCs w:val="22"/>
        </w:rPr>
        <w:t xml:space="preserve">(POWB) </w:t>
      </w:r>
      <w:r w:rsidRPr="00B540A1">
        <w:rPr>
          <w:rFonts w:asciiTheme="minorHAnsi" w:hAnsiTheme="minorHAnsi"/>
          <w:sz w:val="22"/>
          <w:szCs w:val="22"/>
        </w:rPr>
        <w:t>2017</w:t>
      </w:r>
    </w:p>
    <w:p w:rsidR="00777630" w:rsidRDefault="00777630" w:rsidP="00777630">
      <w:pPr>
        <w:pStyle w:val="Default"/>
        <w:rPr>
          <w:rFonts w:asciiTheme="minorHAnsi" w:hAnsiTheme="minorHAnsi"/>
          <w:sz w:val="22"/>
          <w:szCs w:val="22"/>
        </w:rPr>
      </w:pPr>
      <w:r w:rsidRPr="00B540A1">
        <w:rPr>
          <w:rFonts w:asciiTheme="minorHAnsi" w:hAnsiTheme="minorHAnsi"/>
          <w:sz w:val="22"/>
          <w:szCs w:val="22"/>
        </w:rPr>
        <w:t>In November 2016, the System Council approved the Livestock CRP, but did not approve W1/2 funding for two of its flagships: Feeds &amp; Forages and Livestock Livelihoods &amp; Agri-Food Systems.</w:t>
      </w:r>
      <w:r>
        <w:rPr>
          <w:rFonts w:asciiTheme="minorHAnsi" w:hAnsiTheme="minorHAnsi"/>
          <w:sz w:val="22"/>
          <w:szCs w:val="22"/>
        </w:rPr>
        <w:t xml:space="preserve">  </w:t>
      </w:r>
      <w:r w:rsidRPr="00471AC5">
        <w:rPr>
          <w:rFonts w:asciiTheme="minorHAnsi" w:hAnsiTheme="minorHAnsi"/>
          <w:sz w:val="22"/>
          <w:szCs w:val="22"/>
        </w:rPr>
        <w:t xml:space="preserve">The POWB was submitted </w:t>
      </w:r>
      <w:r>
        <w:rPr>
          <w:rFonts w:asciiTheme="minorHAnsi" w:hAnsiTheme="minorHAnsi"/>
          <w:sz w:val="22"/>
          <w:szCs w:val="22"/>
        </w:rPr>
        <w:t xml:space="preserve">in </w:t>
      </w:r>
      <w:r w:rsidRPr="00471AC5">
        <w:rPr>
          <w:rFonts w:asciiTheme="minorHAnsi" w:hAnsiTheme="minorHAnsi"/>
          <w:sz w:val="22"/>
          <w:szCs w:val="22"/>
        </w:rPr>
        <w:t>February</w:t>
      </w:r>
      <w:r>
        <w:rPr>
          <w:rFonts w:asciiTheme="minorHAnsi" w:hAnsiTheme="minorHAnsi"/>
          <w:sz w:val="22"/>
          <w:szCs w:val="22"/>
        </w:rPr>
        <w:t xml:space="preserve"> and f</w:t>
      </w:r>
      <w:r w:rsidRPr="00471AC5">
        <w:rPr>
          <w:rFonts w:asciiTheme="minorHAnsi" w:hAnsiTheme="minorHAnsi"/>
          <w:sz w:val="22"/>
          <w:szCs w:val="22"/>
        </w:rPr>
        <w:t xml:space="preserve">eedback was provided by the System Management Office indicating where the Livestock CRP management needs to continue to improve the POWB presentation. The total budget is nearly 20% higher than in the proposal: the cut in </w:t>
      </w:r>
      <w:r w:rsidRPr="00471AC5">
        <w:rPr>
          <w:rFonts w:asciiTheme="minorHAnsi" w:hAnsiTheme="minorHAnsi"/>
          <w:sz w:val="22"/>
          <w:szCs w:val="22"/>
        </w:rPr>
        <w:lastRenderedPageBreak/>
        <w:t xml:space="preserve">W1/2 funding for the two flagships and management </w:t>
      </w:r>
      <w:r>
        <w:rPr>
          <w:rFonts w:asciiTheme="minorHAnsi" w:hAnsiTheme="minorHAnsi"/>
          <w:sz w:val="22"/>
          <w:szCs w:val="22"/>
        </w:rPr>
        <w:t>having been</w:t>
      </w:r>
      <w:r w:rsidRPr="00471AC5">
        <w:rPr>
          <w:rFonts w:asciiTheme="minorHAnsi" w:hAnsiTheme="minorHAnsi"/>
          <w:sz w:val="22"/>
          <w:szCs w:val="22"/>
        </w:rPr>
        <w:t xml:space="preserve"> offset by a number of new W3/bilateral funded projects</w:t>
      </w:r>
      <w:r>
        <w:rPr>
          <w:rFonts w:asciiTheme="minorHAnsi" w:hAnsiTheme="minorHAnsi"/>
          <w:sz w:val="22"/>
          <w:szCs w:val="22"/>
        </w:rPr>
        <w:t xml:space="preserve">.  </w:t>
      </w:r>
    </w:p>
    <w:p w:rsidR="00777630" w:rsidRDefault="00777630" w:rsidP="00777630">
      <w:pPr>
        <w:pStyle w:val="Default"/>
        <w:rPr>
          <w:rFonts w:asciiTheme="minorHAnsi" w:hAnsiTheme="minorHAnsi"/>
          <w:sz w:val="22"/>
          <w:szCs w:val="22"/>
        </w:rPr>
      </w:pPr>
    </w:p>
    <w:p w:rsidR="00777630" w:rsidRDefault="00777630" w:rsidP="00777630">
      <w:pPr>
        <w:pStyle w:val="Default"/>
        <w:rPr>
          <w:rFonts w:asciiTheme="minorHAnsi" w:hAnsiTheme="minorHAnsi"/>
          <w:sz w:val="22"/>
          <w:szCs w:val="22"/>
        </w:rPr>
      </w:pPr>
      <w:r>
        <w:rPr>
          <w:rFonts w:asciiTheme="minorHAnsi" w:hAnsiTheme="minorHAnsi"/>
          <w:sz w:val="22"/>
          <w:szCs w:val="22"/>
        </w:rPr>
        <w:t>The flagships that are not receiving W1/2 will be reconsidered at the end of July and presented to ISPC by the director in person in September, but there will not be more funding.</w:t>
      </w:r>
    </w:p>
    <w:p w:rsidR="00777630" w:rsidRPr="00B540A1" w:rsidRDefault="00777630" w:rsidP="00777630">
      <w:pPr>
        <w:pStyle w:val="Default"/>
        <w:rPr>
          <w:rFonts w:asciiTheme="minorHAnsi" w:hAnsiTheme="minorHAnsi"/>
          <w:sz w:val="22"/>
          <w:szCs w:val="22"/>
        </w:rPr>
      </w:pPr>
    </w:p>
    <w:p w:rsidR="00777630" w:rsidRDefault="00777630" w:rsidP="00777630">
      <w:pPr>
        <w:pStyle w:val="Default"/>
        <w:rPr>
          <w:rFonts w:asciiTheme="minorHAnsi" w:hAnsiTheme="minorHAnsi"/>
          <w:sz w:val="22"/>
          <w:szCs w:val="22"/>
        </w:rPr>
      </w:pPr>
      <w:r w:rsidRPr="00B540A1">
        <w:rPr>
          <w:rFonts w:asciiTheme="minorHAnsi" w:hAnsiTheme="minorHAnsi"/>
          <w:sz w:val="22"/>
          <w:szCs w:val="22"/>
        </w:rPr>
        <w:t>3.</w:t>
      </w:r>
      <w:r w:rsidRPr="00B540A1">
        <w:rPr>
          <w:rFonts w:asciiTheme="minorHAnsi" w:hAnsiTheme="minorHAnsi"/>
          <w:sz w:val="22"/>
          <w:szCs w:val="22"/>
        </w:rPr>
        <w:tab/>
        <w:t>Financial outlook</w:t>
      </w:r>
    </w:p>
    <w:p w:rsidR="00777630" w:rsidRDefault="00777630" w:rsidP="00777630">
      <w:pPr>
        <w:pStyle w:val="Default"/>
        <w:rPr>
          <w:rFonts w:asciiTheme="minorHAnsi" w:hAnsiTheme="minorHAnsi"/>
          <w:sz w:val="22"/>
          <w:szCs w:val="22"/>
        </w:rPr>
      </w:pPr>
      <w:r>
        <w:rPr>
          <w:rFonts w:asciiTheme="minorHAnsi" w:hAnsiTheme="minorHAnsi"/>
          <w:sz w:val="22"/>
          <w:szCs w:val="22"/>
        </w:rPr>
        <w:t>At CGIAR level, t</w:t>
      </w:r>
      <w:r w:rsidRPr="00471AC5">
        <w:rPr>
          <w:rFonts w:asciiTheme="minorHAnsi" w:hAnsiTheme="minorHAnsi"/>
          <w:sz w:val="22"/>
          <w:szCs w:val="22"/>
        </w:rPr>
        <w:t>here is reasonable confidence that the amount of W1/2 funding from donor commitments for 2017 (based on soft pledging at the last System Council meeting) will match the total budget proposed.</w:t>
      </w:r>
      <w:r>
        <w:rPr>
          <w:rFonts w:asciiTheme="minorHAnsi" w:hAnsiTheme="minorHAnsi"/>
          <w:sz w:val="22"/>
          <w:szCs w:val="22"/>
        </w:rPr>
        <w:t xml:space="preserve">  However there is</w:t>
      </w:r>
      <w:r w:rsidRPr="00471AC5">
        <w:rPr>
          <w:rFonts w:asciiTheme="minorHAnsi" w:hAnsiTheme="minorHAnsi"/>
          <w:sz w:val="22"/>
          <w:szCs w:val="22"/>
        </w:rPr>
        <w:t xml:space="preserve"> little intelligence on </w:t>
      </w:r>
      <w:r>
        <w:rPr>
          <w:rFonts w:asciiTheme="minorHAnsi" w:hAnsiTheme="minorHAnsi"/>
          <w:sz w:val="22"/>
          <w:szCs w:val="22"/>
        </w:rPr>
        <w:t xml:space="preserve">specific </w:t>
      </w:r>
      <w:r w:rsidRPr="00471AC5">
        <w:rPr>
          <w:rFonts w:asciiTheme="minorHAnsi" w:hAnsiTheme="minorHAnsi"/>
          <w:sz w:val="22"/>
          <w:szCs w:val="22"/>
        </w:rPr>
        <w:t>donor W2 plans</w:t>
      </w:r>
      <w:r>
        <w:rPr>
          <w:rFonts w:asciiTheme="minorHAnsi" w:hAnsiTheme="minorHAnsi"/>
          <w:sz w:val="22"/>
          <w:szCs w:val="22"/>
        </w:rPr>
        <w:t>.</w:t>
      </w:r>
      <w:r w:rsidRPr="00471AC5">
        <w:rPr>
          <w:rFonts w:asciiTheme="minorHAnsi" w:hAnsiTheme="minorHAnsi"/>
          <w:sz w:val="22"/>
          <w:szCs w:val="22"/>
        </w:rPr>
        <w:t xml:space="preserve"> The CRP is operating assuming the projected $14.0m W1/2 budget will be funded.</w:t>
      </w:r>
    </w:p>
    <w:p w:rsidR="00777630" w:rsidRPr="00B540A1" w:rsidRDefault="00777630" w:rsidP="00777630">
      <w:pPr>
        <w:pStyle w:val="Default"/>
        <w:rPr>
          <w:rFonts w:asciiTheme="minorHAnsi" w:hAnsiTheme="minorHAnsi"/>
          <w:sz w:val="22"/>
          <w:szCs w:val="22"/>
        </w:rPr>
      </w:pPr>
    </w:p>
    <w:p w:rsidR="00777630" w:rsidRDefault="00777630" w:rsidP="00777630">
      <w:pPr>
        <w:pStyle w:val="Default"/>
        <w:rPr>
          <w:rFonts w:asciiTheme="minorHAnsi" w:hAnsiTheme="minorHAnsi"/>
          <w:sz w:val="22"/>
          <w:szCs w:val="22"/>
        </w:rPr>
      </w:pPr>
      <w:r w:rsidRPr="00B540A1">
        <w:rPr>
          <w:rFonts w:asciiTheme="minorHAnsi" w:hAnsiTheme="minorHAnsi"/>
          <w:sz w:val="22"/>
          <w:szCs w:val="22"/>
        </w:rPr>
        <w:t>4.</w:t>
      </w:r>
      <w:r w:rsidRPr="00B540A1">
        <w:rPr>
          <w:rFonts w:asciiTheme="minorHAnsi" w:hAnsiTheme="minorHAnsi"/>
          <w:sz w:val="22"/>
          <w:szCs w:val="22"/>
        </w:rPr>
        <w:tab/>
        <w:t>Independent Steering Committee</w:t>
      </w:r>
      <w:r>
        <w:rPr>
          <w:rFonts w:asciiTheme="minorHAnsi" w:hAnsiTheme="minorHAnsi"/>
          <w:sz w:val="22"/>
          <w:szCs w:val="22"/>
        </w:rPr>
        <w:t xml:space="preserve"> (ISC)</w:t>
      </w:r>
    </w:p>
    <w:p w:rsidR="00777630" w:rsidRDefault="00777630" w:rsidP="00777630">
      <w:pPr>
        <w:pStyle w:val="Default"/>
        <w:rPr>
          <w:rFonts w:asciiTheme="minorHAnsi" w:hAnsiTheme="minorHAnsi"/>
          <w:sz w:val="22"/>
          <w:szCs w:val="22"/>
        </w:rPr>
      </w:pPr>
      <w:r>
        <w:rPr>
          <w:rFonts w:asciiTheme="minorHAnsi" w:hAnsiTheme="minorHAnsi"/>
          <w:sz w:val="22"/>
          <w:szCs w:val="22"/>
        </w:rPr>
        <w:t>The ISC has not yet been constituted mainly because the clarity on an executive vs. advisory profile.  The SMB is undertaking a review of the ISCs across the CRPs.</w:t>
      </w:r>
    </w:p>
    <w:p w:rsidR="00777630" w:rsidRPr="00B540A1" w:rsidRDefault="00777630" w:rsidP="00777630">
      <w:pPr>
        <w:pStyle w:val="Default"/>
        <w:rPr>
          <w:rFonts w:asciiTheme="minorHAnsi" w:hAnsiTheme="minorHAnsi"/>
          <w:sz w:val="22"/>
          <w:szCs w:val="22"/>
        </w:rPr>
      </w:pPr>
    </w:p>
    <w:p w:rsidR="00777630" w:rsidRDefault="00777630" w:rsidP="00777630">
      <w:pPr>
        <w:pStyle w:val="Default"/>
        <w:rPr>
          <w:rFonts w:asciiTheme="minorHAnsi" w:hAnsiTheme="minorHAnsi"/>
          <w:sz w:val="22"/>
          <w:szCs w:val="22"/>
        </w:rPr>
      </w:pPr>
      <w:r w:rsidRPr="00B540A1">
        <w:rPr>
          <w:rFonts w:asciiTheme="minorHAnsi" w:hAnsiTheme="minorHAnsi"/>
          <w:sz w:val="22"/>
          <w:szCs w:val="22"/>
        </w:rPr>
        <w:t>5.</w:t>
      </w:r>
      <w:r w:rsidRPr="00B540A1">
        <w:rPr>
          <w:rFonts w:asciiTheme="minorHAnsi" w:hAnsiTheme="minorHAnsi"/>
          <w:sz w:val="22"/>
          <w:szCs w:val="22"/>
        </w:rPr>
        <w:tab/>
        <w:t>Partnership</w:t>
      </w:r>
    </w:p>
    <w:p w:rsidR="00777630" w:rsidRDefault="00777630" w:rsidP="00777630">
      <w:pPr>
        <w:pStyle w:val="Default"/>
        <w:rPr>
          <w:rFonts w:asciiTheme="minorHAnsi" w:hAnsiTheme="minorHAnsi"/>
          <w:sz w:val="22"/>
          <w:szCs w:val="22"/>
        </w:rPr>
      </w:pPr>
      <w:r w:rsidRPr="00471AC5">
        <w:rPr>
          <w:rFonts w:asciiTheme="minorHAnsi" w:hAnsiTheme="minorHAnsi"/>
          <w:sz w:val="22"/>
          <w:szCs w:val="22"/>
        </w:rPr>
        <w:t>The Livestock CRP now includes two non-CGIAR implementing partners, the Swedish University of Agricultural Sciences (SLU) and GIZ, and attention is being given to defining the modalities to enable their full participation. Academic partners of CRPs have found the CGIAR funding arrangements difficult to accommodate, and strategies</w:t>
      </w:r>
      <w:r>
        <w:rPr>
          <w:rFonts w:asciiTheme="minorHAnsi" w:hAnsiTheme="minorHAnsi"/>
          <w:sz w:val="22"/>
          <w:szCs w:val="22"/>
        </w:rPr>
        <w:t xml:space="preserve"> are being explored</w:t>
      </w:r>
      <w:r w:rsidRPr="00471AC5">
        <w:rPr>
          <w:rFonts w:asciiTheme="minorHAnsi" w:hAnsiTheme="minorHAnsi"/>
          <w:sz w:val="22"/>
          <w:szCs w:val="22"/>
        </w:rPr>
        <w:t xml:space="preserve"> to address this challenge.</w:t>
      </w:r>
    </w:p>
    <w:p w:rsidR="00777630" w:rsidRPr="00B540A1" w:rsidRDefault="00777630" w:rsidP="00777630">
      <w:pPr>
        <w:pStyle w:val="Default"/>
        <w:rPr>
          <w:rFonts w:asciiTheme="minorHAnsi" w:hAnsiTheme="minorHAnsi"/>
          <w:sz w:val="22"/>
          <w:szCs w:val="22"/>
        </w:rPr>
      </w:pPr>
    </w:p>
    <w:p w:rsidR="00777630" w:rsidRPr="00B540A1" w:rsidRDefault="00777630" w:rsidP="00777630">
      <w:pPr>
        <w:pStyle w:val="Default"/>
        <w:rPr>
          <w:rFonts w:asciiTheme="minorHAnsi" w:hAnsiTheme="minorHAnsi"/>
          <w:sz w:val="22"/>
          <w:szCs w:val="22"/>
        </w:rPr>
      </w:pPr>
      <w:r w:rsidRPr="00B540A1">
        <w:rPr>
          <w:rFonts w:asciiTheme="minorHAnsi" w:hAnsiTheme="minorHAnsi"/>
          <w:sz w:val="22"/>
          <w:szCs w:val="22"/>
        </w:rPr>
        <w:t>6.</w:t>
      </w:r>
      <w:r w:rsidRPr="00B540A1">
        <w:rPr>
          <w:rFonts w:asciiTheme="minorHAnsi" w:hAnsiTheme="minorHAnsi"/>
          <w:sz w:val="22"/>
          <w:szCs w:val="22"/>
        </w:rPr>
        <w:tab/>
        <w:t>Monitoring &amp; Evaluation</w:t>
      </w:r>
    </w:p>
    <w:p w:rsidR="00777630" w:rsidRPr="00471AC5" w:rsidRDefault="00777630" w:rsidP="00777630">
      <w:pPr>
        <w:pStyle w:val="Default"/>
        <w:rPr>
          <w:rFonts w:asciiTheme="minorHAnsi" w:hAnsiTheme="minorHAnsi"/>
          <w:sz w:val="22"/>
          <w:szCs w:val="22"/>
        </w:rPr>
      </w:pPr>
      <w:r w:rsidRPr="00471AC5">
        <w:rPr>
          <w:rFonts w:asciiTheme="minorHAnsi" w:hAnsiTheme="minorHAnsi"/>
          <w:sz w:val="22"/>
          <w:szCs w:val="22"/>
        </w:rPr>
        <w:t xml:space="preserve">The CRP joined an initiative with four other CRPs led by CIAT – which has now expanded to eight CRPs – to develop a second generation version of their online CRP planning and reporting program called MARLO (Managing Agricultural Research for Learning and Outcomes). The planning module is now ready for use by the Livestock CRP and is being rolled out this coming month. </w:t>
      </w:r>
    </w:p>
    <w:p w:rsidR="00777630" w:rsidRPr="00471AC5" w:rsidRDefault="00777630" w:rsidP="00777630">
      <w:pPr>
        <w:pStyle w:val="Default"/>
        <w:rPr>
          <w:rFonts w:asciiTheme="minorHAnsi" w:hAnsiTheme="minorHAnsi"/>
          <w:sz w:val="22"/>
          <w:szCs w:val="22"/>
        </w:rPr>
      </w:pPr>
    </w:p>
    <w:p w:rsidR="00777630" w:rsidRDefault="00777630" w:rsidP="00777630">
      <w:pPr>
        <w:pStyle w:val="Default"/>
        <w:rPr>
          <w:rFonts w:asciiTheme="minorHAnsi" w:hAnsiTheme="minorHAnsi"/>
          <w:sz w:val="22"/>
          <w:szCs w:val="22"/>
        </w:rPr>
      </w:pPr>
      <w:r w:rsidRPr="00471AC5">
        <w:rPr>
          <w:rFonts w:asciiTheme="minorHAnsi" w:hAnsiTheme="minorHAnsi"/>
          <w:sz w:val="22"/>
          <w:szCs w:val="22"/>
        </w:rPr>
        <w:t>Following up from the Programme Committee in November 2016, the CRP engaged with the OCS developers at both ILRI and System level. The project to develop a CRP financial aggregation platform to enable reporting real-time CRP budget and expenditure information has been reformulated as a two-step project and described in an OCS System Design Document. The project is underway.</w:t>
      </w:r>
      <w:r>
        <w:rPr>
          <w:rFonts w:asciiTheme="minorHAnsi" w:hAnsiTheme="minorHAnsi"/>
          <w:sz w:val="22"/>
          <w:szCs w:val="22"/>
        </w:rPr>
        <w:t xml:space="preserve">  To further support CRP operations a</w:t>
      </w:r>
      <w:r w:rsidRPr="00471AC5">
        <w:rPr>
          <w:rFonts w:asciiTheme="minorHAnsi" w:hAnsiTheme="minorHAnsi"/>
          <w:sz w:val="22"/>
          <w:szCs w:val="22"/>
        </w:rPr>
        <w:t xml:space="preserve"> Performance and Partnership Manager position has been created for rolling out the M&amp;E system as well as being responsible for strengthening the focus country teams and coordinating the CRP engagement in the CGIAR Country Collaboration initiative. </w:t>
      </w:r>
    </w:p>
    <w:p w:rsidR="00777630" w:rsidRDefault="00777630" w:rsidP="00777630">
      <w:pPr>
        <w:pStyle w:val="Default"/>
        <w:rPr>
          <w:rFonts w:asciiTheme="minorHAnsi" w:hAnsiTheme="minorHAnsi"/>
          <w:sz w:val="22"/>
          <w:szCs w:val="22"/>
        </w:rPr>
      </w:pPr>
    </w:p>
    <w:p w:rsidR="00777630" w:rsidRDefault="00777630" w:rsidP="00777630">
      <w:pPr>
        <w:pStyle w:val="Default"/>
        <w:rPr>
          <w:rFonts w:asciiTheme="minorHAnsi" w:hAnsiTheme="minorHAnsi"/>
          <w:sz w:val="22"/>
          <w:szCs w:val="22"/>
        </w:rPr>
      </w:pPr>
      <w:r>
        <w:rPr>
          <w:rFonts w:asciiTheme="minorHAnsi" w:hAnsiTheme="minorHAnsi"/>
          <w:sz w:val="22"/>
          <w:szCs w:val="22"/>
        </w:rPr>
        <w:t>The committee discussed in particular the proposed governance arrangements, noting t</w:t>
      </w:r>
      <w:r w:rsidRPr="00A27BF9">
        <w:rPr>
          <w:rFonts w:asciiTheme="minorHAnsi" w:hAnsiTheme="minorHAnsi"/>
          <w:sz w:val="22"/>
          <w:szCs w:val="22"/>
        </w:rPr>
        <w:t>he Phase 2 CRP proposal guidance required adoption of the former Consortium Board recommended version of CRP governance which gave the Independent Steering Committee a strong executive role in overseeing the CRP</w:t>
      </w:r>
      <w:r>
        <w:rPr>
          <w:rFonts w:asciiTheme="minorHAnsi" w:hAnsiTheme="minorHAnsi"/>
          <w:sz w:val="22"/>
          <w:szCs w:val="22"/>
        </w:rPr>
        <w:t xml:space="preserve">.  The ILRI Board had previously expressed its concerns about this model, and across other Centres and CRPs there is an expectation </w:t>
      </w:r>
      <w:r w:rsidRPr="00A27BF9">
        <w:rPr>
          <w:rFonts w:asciiTheme="minorHAnsi" w:hAnsiTheme="minorHAnsi"/>
          <w:sz w:val="22"/>
          <w:szCs w:val="22"/>
        </w:rPr>
        <w:t>that the recommendation would be reviewed and there will be a consensus to re-orient the ISC role toward an advisory function. The Livestock CRP therefore</w:t>
      </w:r>
      <w:r>
        <w:rPr>
          <w:rFonts w:asciiTheme="minorHAnsi" w:hAnsiTheme="minorHAnsi"/>
          <w:sz w:val="22"/>
          <w:szCs w:val="22"/>
        </w:rPr>
        <w:t xml:space="preserve"> proposes to</w:t>
      </w:r>
      <w:r w:rsidRPr="00A27BF9">
        <w:rPr>
          <w:rFonts w:asciiTheme="minorHAnsi" w:hAnsiTheme="minorHAnsi"/>
          <w:sz w:val="22"/>
          <w:szCs w:val="22"/>
        </w:rPr>
        <w:t xml:space="preserve"> implement an advisory model </w:t>
      </w:r>
      <w:r>
        <w:rPr>
          <w:rFonts w:asciiTheme="minorHAnsi" w:hAnsiTheme="minorHAnsi"/>
          <w:sz w:val="22"/>
          <w:szCs w:val="22"/>
        </w:rPr>
        <w:t>and t</w:t>
      </w:r>
      <w:r w:rsidRPr="00A27BF9">
        <w:rPr>
          <w:rFonts w:asciiTheme="minorHAnsi" w:hAnsiTheme="minorHAnsi"/>
          <w:sz w:val="22"/>
          <w:szCs w:val="22"/>
        </w:rPr>
        <w:t>he CRP management is developing an approach that would structure more clearly the process by which the ISC would review individual research lines and flagships to provide advice to the CRP management committee on whether funding allocation should be adjusted, in addition to its general advising function</w:t>
      </w:r>
      <w:r>
        <w:rPr>
          <w:rFonts w:asciiTheme="minorHAnsi" w:hAnsiTheme="minorHAnsi"/>
          <w:sz w:val="22"/>
          <w:szCs w:val="22"/>
        </w:rPr>
        <w:t xml:space="preserve">.  </w:t>
      </w:r>
    </w:p>
    <w:p w:rsidR="00777630" w:rsidRDefault="00777630" w:rsidP="00777630">
      <w:pPr>
        <w:pStyle w:val="Default"/>
        <w:rPr>
          <w:rFonts w:asciiTheme="minorHAnsi" w:hAnsiTheme="minorHAnsi"/>
          <w:sz w:val="22"/>
          <w:szCs w:val="22"/>
        </w:rPr>
      </w:pPr>
    </w:p>
    <w:p w:rsidR="00777630" w:rsidRDefault="00777630" w:rsidP="00777630">
      <w:pPr>
        <w:pStyle w:val="Default"/>
        <w:rPr>
          <w:rFonts w:asciiTheme="minorHAnsi" w:hAnsiTheme="minorHAnsi"/>
          <w:b/>
          <w:sz w:val="22"/>
          <w:szCs w:val="22"/>
        </w:rPr>
      </w:pPr>
      <w:r>
        <w:rPr>
          <w:rFonts w:asciiTheme="minorHAnsi" w:hAnsiTheme="minorHAnsi"/>
          <w:sz w:val="22"/>
          <w:szCs w:val="22"/>
        </w:rPr>
        <w:lastRenderedPageBreak/>
        <w:t>The committee reviewed the functions of the ISC, ILRI management and the ILRI Board and how information provided could support such roles.</w:t>
      </w:r>
      <w:r w:rsidRPr="00493813">
        <w:rPr>
          <w:rFonts w:asciiTheme="minorHAnsi" w:hAnsiTheme="minorHAnsi"/>
          <w:sz w:val="22"/>
          <w:szCs w:val="22"/>
        </w:rPr>
        <w:t xml:space="preserve"> </w:t>
      </w:r>
      <w:r>
        <w:rPr>
          <w:rFonts w:asciiTheme="minorHAnsi" w:hAnsiTheme="minorHAnsi"/>
          <w:sz w:val="22"/>
          <w:szCs w:val="22"/>
        </w:rPr>
        <w:t>It was agreed that ILRI management should play an executive role, the ‘ISC’ an advisory role and the ILRI Board should retain its oversight and governance roles.  A good M&amp;E should support these various roles.  It was further noted that whilst the</w:t>
      </w:r>
      <w:r w:rsidRPr="00B34626">
        <w:rPr>
          <w:rFonts w:asciiTheme="minorHAnsi" w:hAnsiTheme="minorHAnsi"/>
          <w:sz w:val="22"/>
          <w:szCs w:val="22"/>
        </w:rPr>
        <w:t xml:space="preserve"> lead centre is responsible </w:t>
      </w:r>
      <w:r>
        <w:rPr>
          <w:rFonts w:asciiTheme="minorHAnsi" w:hAnsiTheme="minorHAnsi"/>
          <w:sz w:val="22"/>
          <w:szCs w:val="22"/>
        </w:rPr>
        <w:t xml:space="preserve">the </w:t>
      </w:r>
      <w:r w:rsidRPr="00B34626">
        <w:rPr>
          <w:rFonts w:asciiTheme="minorHAnsi" w:hAnsiTheme="minorHAnsi"/>
          <w:sz w:val="22"/>
          <w:szCs w:val="22"/>
        </w:rPr>
        <w:t>governance arrangements</w:t>
      </w:r>
      <w:r>
        <w:rPr>
          <w:rFonts w:asciiTheme="minorHAnsi" w:hAnsiTheme="minorHAnsi"/>
          <w:sz w:val="22"/>
          <w:szCs w:val="22"/>
        </w:rPr>
        <w:t xml:space="preserve"> and oversight by the ILRI Board also needs to take account of the other partners in the CRP</w:t>
      </w:r>
      <w:r w:rsidRPr="00B34626">
        <w:rPr>
          <w:rFonts w:asciiTheme="minorHAnsi" w:hAnsiTheme="minorHAnsi"/>
          <w:sz w:val="22"/>
          <w:szCs w:val="22"/>
        </w:rPr>
        <w:t xml:space="preserve">. </w:t>
      </w:r>
      <w:r w:rsidRPr="00B34626">
        <w:rPr>
          <w:rFonts w:asciiTheme="minorHAnsi" w:hAnsiTheme="minorHAnsi"/>
          <w:b/>
          <w:sz w:val="22"/>
          <w:szCs w:val="22"/>
        </w:rPr>
        <w:t xml:space="preserve"> </w:t>
      </w:r>
    </w:p>
    <w:p w:rsidR="00777630" w:rsidRDefault="00777630" w:rsidP="00777630">
      <w:pPr>
        <w:pStyle w:val="Default"/>
        <w:rPr>
          <w:rFonts w:asciiTheme="minorHAnsi" w:hAnsiTheme="minorHAnsi"/>
          <w:b/>
          <w:sz w:val="22"/>
          <w:szCs w:val="22"/>
        </w:rPr>
      </w:pPr>
    </w:p>
    <w:p w:rsidR="00777630" w:rsidRPr="00B34626" w:rsidRDefault="00777630" w:rsidP="00777630">
      <w:pPr>
        <w:pStyle w:val="Default"/>
        <w:rPr>
          <w:rFonts w:asciiTheme="minorHAnsi" w:hAnsiTheme="minorHAnsi"/>
          <w:b/>
          <w:sz w:val="22"/>
          <w:szCs w:val="22"/>
        </w:rPr>
      </w:pPr>
      <w:r>
        <w:rPr>
          <w:rFonts w:asciiTheme="minorHAnsi" w:hAnsiTheme="minorHAnsi"/>
          <w:b/>
          <w:sz w:val="22"/>
          <w:szCs w:val="22"/>
        </w:rPr>
        <w:t>After extensive discussion to probe the different roles, the committee agreed:</w:t>
      </w:r>
    </w:p>
    <w:p w:rsidR="00777630" w:rsidRDefault="00777630" w:rsidP="00777630">
      <w:pPr>
        <w:pStyle w:val="Default"/>
        <w:rPr>
          <w:rFonts w:asciiTheme="minorHAnsi" w:hAnsiTheme="minorHAnsi"/>
          <w:b/>
          <w:sz w:val="22"/>
          <w:szCs w:val="22"/>
        </w:rPr>
      </w:pPr>
    </w:p>
    <w:p w:rsidR="00777630" w:rsidRDefault="00777630" w:rsidP="00777630">
      <w:pPr>
        <w:pStyle w:val="Default"/>
        <w:rPr>
          <w:rFonts w:asciiTheme="minorHAnsi" w:hAnsiTheme="minorHAnsi"/>
          <w:b/>
          <w:sz w:val="22"/>
          <w:szCs w:val="22"/>
        </w:rPr>
      </w:pPr>
      <w:r w:rsidRPr="00960CFA">
        <w:rPr>
          <w:rFonts w:asciiTheme="minorHAnsi" w:hAnsiTheme="minorHAnsi"/>
          <w:b/>
          <w:sz w:val="22"/>
          <w:szCs w:val="22"/>
        </w:rPr>
        <w:t>The Board should see and comment on the POWB and annual performance report, i</w:t>
      </w:r>
      <w:r w:rsidR="0012783B">
        <w:rPr>
          <w:rFonts w:asciiTheme="minorHAnsi" w:hAnsiTheme="minorHAnsi"/>
          <w:b/>
          <w:sz w:val="22"/>
          <w:szCs w:val="22"/>
        </w:rPr>
        <w:t>.</w:t>
      </w:r>
      <w:r w:rsidRPr="00960CFA">
        <w:rPr>
          <w:rFonts w:asciiTheme="minorHAnsi" w:hAnsiTheme="minorHAnsi"/>
          <w:b/>
          <w:sz w:val="22"/>
          <w:szCs w:val="22"/>
        </w:rPr>
        <w:t>e</w:t>
      </w:r>
      <w:r w:rsidR="0012783B">
        <w:rPr>
          <w:rFonts w:asciiTheme="minorHAnsi" w:hAnsiTheme="minorHAnsi"/>
          <w:b/>
          <w:sz w:val="22"/>
          <w:szCs w:val="22"/>
        </w:rPr>
        <w:t>.</w:t>
      </w:r>
      <w:r w:rsidRPr="00960CFA">
        <w:rPr>
          <w:rFonts w:asciiTheme="minorHAnsi" w:hAnsiTheme="minorHAnsi"/>
          <w:b/>
          <w:sz w:val="22"/>
          <w:szCs w:val="22"/>
        </w:rPr>
        <w:t xml:space="preserve"> oversee but not approve. The CRP Director should set deadlines and inform the Board when to expect documents with adequate advance notice (4 weeks), setting a reasonable time for their review.  This may involve the Board deadline overlapping with the deadlines of ISC and or IMC, in order to give the Board around a week for this review.</w:t>
      </w:r>
    </w:p>
    <w:p w:rsidR="00777630" w:rsidRDefault="00777630" w:rsidP="00777630">
      <w:pPr>
        <w:pStyle w:val="Default"/>
        <w:rPr>
          <w:rFonts w:asciiTheme="minorHAnsi" w:hAnsiTheme="minorHAnsi"/>
          <w:b/>
          <w:sz w:val="22"/>
          <w:szCs w:val="22"/>
        </w:rPr>
      </w:pPr>
    </w:p>
    <w:p w:rsidR="00777630" w:rsidRDefault="00777630" w:rsidP="00777630">
      <w:pPr>
        <w:pStyle w:val="Default"/>
        <w:rPr>
          <w:rFonts w:asciiTheme="minorHAnsi" w:hAnsiTheme="minorHAnsi"/>
          <w:b/>
          <w:sz w:val="22"/>
          <w:szCs w:val="22"/>
        </w:rPr>
      </w:pPr>
      <w:r>
        <w:rPr>
          <w:rFonts w:asciiTheme="minorHAnsi" w:hAnsiTheme="minorHAnsi"/>
          <w:b/>
          <w:sz w:val="22"/>
          <w:szCs w:val="22"/>
        </w:rPr>
        <w:t>The Board agreed (and in doing so reconfirmed its conclusion in the 46</w:t>
      </w:r>
      <w:r w:rsidRPr="006877EA">
        <w:rPr>
          <w:rFonts w:asciiTheme="minorHAnsi" w:hAnsiTheme="minorHAnsi"/>
          <w:b/>
          <w:sz w:val="22"/>
          <w:szCs w:val="22"/>
          <w:vertAlign w:val="superscript"/>
        </w:rPr>
        <w:t>th</w:t>
      </w:r>
      <w:r>
        <w:rPr>
          <w:rFonts w:asciiTheme="minorHAnsi" w:hAnsiTheme="minorHAnsi"/>
          <w:b/>
          <w:sz w:val="22"/>
          <w:szCs w:val="22"/>
        </w:rPr>
        <w:t xml:space="preserve"> Board meeting):</w:t>
      </w:r>
    </w:p>
    <w:p w:rsidR="00777630" w:rsidRDefault="00777630" w:rsidP="00777630">
      <w:pPr>
        <w:pStyle w:val="Default"/>
        <w:numPr>
          <w:ilvl w:val="0"/>
          <w:numId w:val="16"/>
        </w:numPr>
        <w:rPr>
          <w:rFonts w:asciiTheme="minorHAnsi" w:hAnsiTheme="minorHAnsi"/>
          <w:b/>
          <w:sz w:val="22"/>
          <w:szCs w:val="22"/>
        </w:rPr>
      </w:pPr>
      <w:r>
        <w:rPr>
          <w:rFonts w:asciiTheme="minorHAnsi" w:hAnsiTheme="minorHAnsi"/>
          <w:b/>
          <w:sz w:val="22"/>
          <w:szCs w:val="22"/>
        </w:rPr>
        <w:t xml:space="preserve">The committee (the ISC) should function and have terms of reference as an Independent </w:t>
      </w:r>
      <w:r w:rsidRPr="006877EA">
        <w:rPr>
          <w:rFonts w:asciiTheme="minorHAnsi" w:hAnsiTheme="minorHAnsi"/>
          <w:b/>
          <w:sz w:val="22"/>
          <w:szCs w:val="22"/>
          <w:u w:val="single"/>
        </w:rPr>
        <w:t>Advisory</w:t>
      </w:r>
      <w:r>
        <w:rPr>
          <w:rFonts w:asciiTheme="minorHAnsi" w:hAnsiTheme="minorHAnsi"/>
          <w:b/>
          <w:sz w:val="22"/>
          <w:szCs w:val="22"/>
        </w:rPr>
        <w:t xml:space="preserve"> Committee (even if its name as ISC is retained)</w:t>
      </w:r>
    </w:p>
    <w:p w:rsidR="00777630" w:rsidRDefault="00777630" w:rsidP="00777630">
      <w:pPr>
        <w:pStyle w:val="Default"/>
        <w:numPr>
          <w:ilvl w:val="0"/>
          <w:numId w:val="16"/>
        </w:numPr>
        <w:rPr>
          <w:rFonts w:asciiTheme="minorHAnsi" w:hAnsiTheme="minorHAnsi"/>
          <w:b/>
          <w:sz w:val="22"/>
          <w:szCs w:val="22"/>
        </w:rPr>
      </w:pPr>
      <w:r>
        <w:rPr>
          <w:rFonts w:asciiTheme="minorHAnsi" w:hAnsiTheme="minorHAnsi"/>
          <w:b/>
          <w:sz w:val="22"/>
          <w:szCs w:val="22"/>
        </w:rPr>
        <w:t>The Board retains its oversight role</w:t>
      </w:r>
    </w:p>
    <w:p w:rsidR="00777630" w:rsidRDefault="00777630" w:rsidP="00777630">
      <w:pPr>
        <w:pStyle w:val="Default"/>
        <w:rPr>
          <w:rFonts w:asciiTheme="minorHAnsi" w:hAnsiTheme="minorHAnsi"/>
          <w:b/>
          <w:sz w:val="22"/>
          <w:szCs w:val="22"/>
        </w:rPr>
      </w:pPr>
    </w:p>
    <w:p w:rsidR="00777630" w:rsidRDefault="00777630" w:rsidP="00777630">
      <w:pPr>
        <w:pStyle w:val="Default"/>
        <w:rPr>
          <w:rFonts w:asciiTheme="minorHAnsi" w:hAnsiTheme="minorHAnsi"/>
          <w:b/>
          <w:sz w:val="22"/>
          <w:szCs w:val="22"/>
        </w:rPr>
      </w:pPr>
      <w:r>
        <w:rPr>
          <w:rFonts w:asciiTheme="minorHAnsi" w:hAnsiTheme="minorHAnsi"/>
          <w:b/>
          <w:sz w:val="22"/>
          <w:szCs w:val="22"/>
        </w:rPr>
        <w:t xml:space="preserve">The table of proposed roles and responsibilities presented should be adjusted in line with the discussion, and used to inform the roles of the ILRI Board, ILRI management and the ISC. </w:t>
      </w:r>
    </w:p>
    <w:p w:rsidR="00777630" w:rsidRDefault="00777630" w:rsidP="00777630">
      <w:pPr>
        <w:pStyle w:val="Default"/>
        <w:rPr>
          <w:rFonts w:asciiTheme="minorHAnsi" w:hAnsiTheme="minorHAnsi"/>
          <w:b/>
          <w:sz w:val="22"/>
          <w:szCs w:val="22"/>
        </w:rPr>
      </w:pPr>
    </w:p>
    <w:p w:rsidR="00777630" w:rsidRDefault="00777630" w:rsidP="00777630">
      <w:pPr>
        <w:pStyle w:val="Default"/>
        <w:rPr>
          <w:rFonts w:asciiTheme="minorHAnsi" w:hAnsiTheme="minorHAnsi"/>
          <w:b/>
          <w:sz w:val="22"/>
          <w:szCs w:val="22"/>
        </w:rPr>
      </w:pPr>
      <w:r w:rsidRPr="00960CFA">
        <w:rPr>
          <w:rFonts w:asciiTheme="minorHAnsi" w:hAnsiTheme="minorHAnsi"/>
          <w:b/>
          <w:sz w:val="22"/>
          <w:szCs w:val="22"/>
        </w:rPr>
        <w:t xml:space="preserve">In order to ensure that the Board fulfils its full oversight responsibilities, the Board </w:t>
      </w:r>
      <w:r>
        <w:rPr>
          <w:rFonts w:asciiTheme="minorHAnsi" w:hAnsiTheme="minorHAnsi"/>
          <w:b/>
          <w:sz w:val="22"/>
          <w:szCs w:val="22"/>
        </w:rPr>
        <w:t>reserves the right to appoint the ISC chair.</w:t>
      </w:r>
    </w:p>
    <w:p w:rsidR="00777630" w:rsidRDefault="00777630" w:rsidP="00777630">
      <w:pPr>
        <w:pStyle w:val="Default"/>
        <w:rPr>
          <w:rFonts w:asciiTheme="minorHAnsi" w:hAnsiTheme="minorHAnsi"/>
          <w:b/>
          <w:sz w:val="22"/>
          <w:szCs w:val="22"/>
        </w:rPr>
      </w:pPr>
    </w:p>
    <w:p w:rsidR="00777630" w:rsidRDefault="00777630" w:rsidP="00777630">
      <w:pPr>
        <w:pStyle w:val="Default"/>
        <w:rPr>
          <w:rFonts w:asciiTheme="minorHAnsi" w:hAnsiTheme="minorHAnsi"/>
          <w:b/>
          <w:sz w:val="22"/>
          <w:szCs w:val="22"/>
        </w:rPr>
      </w:pPr>
    </w:p>
    <w:p w:rsidR="00777630" w:rsidRDefault="00777630" w:rsidP="00777630">
      <w:pPr>
        <w:pStyle w:val="Default"/>
        <w:rPr>
          <w:rFonts w:asciiTheme="minorHAnsi" w:hAnsiTheme="minorHAnsi"/>
          <w:b/>
          <w:bCs/>
          <w:color w:val="auto"/>
          <w:sz w:val="22"/>
          <w:szCs w:val="22"/>
        </w:rPr>
      </w:pPr>
      <w:r w:rsidRPr="006C568E">
        <w:rPr>
          <w:rFonts w:asciiTheme="minorHAnsi" w:hAnsiTheme="minorHAnsi"/>
          <w:b/>
          <w:bCs/>
          <w:color w:val="auto"/>
          <w:sz w:val="22"/>
          <w:szCs w:val="22"/>
        </w:rPr>
        <w:t>6.8 Format and agendas for future PC meetings, including frequency of Livestock CRP reports</w:t>
      </w:r>
    </w:p>
    <w:p w:rsidR="00777630" w:rsidRDefault="00777630" w:rsidP="00777630">
      <w:pPr>
        <w:pStyle w:val="Default"/>
        <w:rPr>
          <w:rFonts w:asciiTheme="minorHAnsi" w:hAnsiTheme="minorHAnsi"/>
          <w:b/>
          <w:bCs/>
          <w:color w:val="auto"/>
          <w:sz w:val="22"/>
          <w:szCs w:val="22"/>
        </w:rPr>
      </w:pPr>
    </w:p>
    <w:p w:rsidR="00777630" w:rsidRPr="00493813" w:rsidRDefault="00777630" w:rsidP="00777630">
      <w:pPr>
        <w:pStyle w:val="Default"/>
        <w:rPr>
          <w:rFonts w:asciiTheme="minorHAnsi" w:hAnsiTheme="minorHAnsi"/>
          <w:b/>
          <w:bCs/>
          <w:color w:val="auto"/>
          <w:sz w:val="22"/>
          <w:szCs w:val="22"/>
        </w:rPr>
      </w:pPr>
      <w:r w:rsidRPr="00EB04DE">
        <w:rPr>
          <w:rFonts w:asciiTheme="minorHAnsi" w:hAnsiTheme="minorHAnsi"/>
          <w:bCs/>
          <w:color w:val="auto"/>
          <w:sz w:val="22"/>
          <w:szCs w:val="22"/>
        </w:rPr>
        <w:t>The</w:t>
      </w:r>
      <w:r>
        <w:rPr>
          <w:rFonts w:asciiTheme="minorHAnsi" w:hAnsiTheme="minorHAnsi"/>
          <w:bCs/>
          <w:color w:val="auto"/>
          <w:sz w:val="22"/>
          <w:szCs w:val="22"/>
        </w:rPr>
        <w:t xml:space="preserve"> programme committee agenda includes </w:t>
      </w:r>
      <w:r w:rsidRPr="00EB04DE">
        <w:rPr>
          <w:rFonts w:asciiTheme="minorHAnsi" w:hAnsiTheme="minorHAnsi"/>
          <w:bCs/>
          <w:color w:val="auto"/>
          <w:sz w:val="22"/>
          <w:szCs w:val="22"/>
        </w:rPr>
        <w:t>regular reports</w:t>
      </w:r>
      <w:r>
        <w:rPr>
          <w:rFonts w:asciiTheme="minorHAnsi" w:hAnsiTheme="minorHAnsi"/>
          <w:bCs/>
          <w:color w:val="auto"/>
          <w:sz w:val="22"/>
          <w:szCs w:val="22"/>
        </w:rPr>
        <w:t xml:space="preserve"> on </w:t>
      </w:r>
      <w:r w:rsidRPr="00EB04DE">
        <w:rPr>
          <w:rFonts w:asciiTheme="minorHAnsi" w:hAnsiTheme="minorHAnsi"/>
          <w:bCs/>
          <w:color w:val="auto"/>
          <w:sz w:val="22"/>
          <w:szCs w:val="22"/>
        </w:rPr>
        <w:t xml:space="preserve">the CRP </w:t>
      </w:r>
      <w:r>
        <w:rPr>
          <w:rFonts w:asciiTheme="minorHAnsi" w:hAnsiTheme="minorHAnsi"/>
          <w:bCs/>
          <w:color w:val="auto"/>
          <w:sz w:val="22"/>
          <w:szCs w:val="22"/>
        </w:rPr>
        <w:t xml:space="preserve">for which ILRI is the lead centre.   The committee considered these regular agenda items, and agreed that, at least for the coming 12 months </w:t>
      </w:r>
      <w:r>
        <w:rPr>
          <w:rFonts w:asciiTheme="minorHAnsi" w:hAnsiTheme="minorHAnsi"/>
          <w:b/>
          <w:bCs/>
          <w:color w:val="auto"/>
          <w:sz w:val="22"/>
          <w:szCs w:val="22"/>
        </w:rPr>
        <w:t>it should remain a regular item</w:t>
      </w:r>
      <w:r w:rsidRPr="00493813">
        <w:rPr>
          <w:rFonts w:asciiTheme="minorHAnsi" w:hAnsiTheme="minorHAnsi"/>
          <w:b/>
          <w:bCs/>
          <w:color w:val="auto"/>
          <w:sz w:val="22"/>
          <w:szCs w:val="22"/>
        </w:rPr>
        <w:t xml:space="preserve"> at every programme committee meeting.  </w:t>
      </w:r>
      <w:r>
        <w:rPr>
          <w:rFonts w:asciiTheme="minorHAnsi" w:hAnsiTheme="minorHAnsi"/>
          <w:b/>
          <w:bCs/>
          <w:color w:val="auto"/>
          <w:sz w:val="22"/>
          <w:szCs w:val="22"/>
        </w:rPr>
        <w:t>T</w:t>
      </w:r>
      <w:r w:rsidRPr="00324B7B">
        <w:rPr>
          <w:rFonts w:asciiTheme="minorHAnsi" w:hAnsiTheme="minorHAnsi"/>
          <w:b/>
          <w:bCs/>
          <w:color w:val="auto"/>
          <w:sz w:val="22"/>
          <w:szCs w:val="22"/>
        </w:rPr>
        <w:t>he committee suggested that specific purposes be assigned for presentations to be made at the April vs. October meetings.  For example, report on operational and financial matters at one, and report on programmatic impact at the other.  This may help avoid redundancy in presentations, help focus the presentations, and save some time.</w:t>
      </w:r>
    </w:p>
    <w:p w:rsidR="00777630" w:rsidRDefault="00777630" w:rsidP="00777630">
      <w:pPr>
        <w:pStyle w:val="Default"/>
        <w:rPr>
          <w:rFonts w:asciiTheme="minorHAnsi" w:hAnsiTheme="minorHAnsi"/>
          <w:bCs/>
          <w:color w:val="auto"/>
          <w:sz w:val="22"/>
          <w:szCs w:val="22"/>
        </w:rPr>
      </w:pPr>
    </w:p>
    <w:p w:rsidR="00777630" w:rsidRPr="00493813" w:rsidRDefault="00777630" w:rsidP="00777630">
      <w:pPr>
        <w:pStyle w:val="Default"/>
        <w:rPr>
          <w:rFonts w:asciiTheme="minorHAnsi" w:hAnsiTheme="minorHAnsi"/>
          <w:b/>
          <w:bCs/>
          <w:color w:val="auto"/>
          <w:sz w:val="22"/>
          <w:szCs w:val="22"/>
        </w:rPr>
      </w:pPr>
      <w:r w:rsidRPr="00493813">
        <w:rPr>
          <w:rFonts w:asciiTheme="minorHAnsi" w:hAnsiTheme="minorHAnsi"/>
          <w:b/>
          <w:bCs/>
          <w:color w:val="auto"/>
          <w:sz w:val="22"/>
          <w:szCs w:val="22"/>
        </w:rPr>
        <w:t xml:space="preserve">The </w:t>
      </w:r>
      <w:r>
        <w:rPr>
          <w:rFonts w:asciiTheme="minorHAnsi" w:hAnsiTheme="minorHAnsi"/>
          <w:b/>
          <w:bCs/>
          <w:color w:val="auto"/>
          <w:sz w:val="22"/>
          <w:szCs w:val="22"/>
        </w:rPr>
        <w:t xml:space="preserve">committee </w:t>
      </w:r>
      <w:r w:rsidRPr="00493813">
        <w:rPr>
          <w:rFonts w:asciiTheme="minorHAnsi" w:hAnsiTheme="minorHAnsi"/>
          <w:b/>
          <w:bCs/>
          <w:color w:val="auto"/>
          <w:sz w:val="22"/>
          <w:szCs w:val="22"/>
        </w:rPr>
        <w:t xml:space="preserve">requested that presentations during the meeting should be shortened, more focused and not take more than half the time allocation for any particular agenda item. </w:t>
      </w:r>
    </w:p>
    <w:p w:rsidR="00777630" w:rsidRDefault="00777630" w:rsidP="00777630">
      <w:pPr>
        <w:pStyle w:val="Default"/>
        <w:rPr>
          <w:rFonts w:asciiTheme="minorHAnsi" w:hAnsiTheme="minorHAnsi"/>
          <w:b/>
          <w:sz w:val="22"/>
          <w:szCs w:val="22"/>
        </w:rPr>
      </w:pPr>
    </w:p>
    <w:p w:rsidR="00595DDB" w:rsidRDefault="00595DDB" w:rsidP="00595DDB">
      <w:pPr>
        <w:shd w:val="clear" w:color="auto" w:fill="D9D9D9"/>
        <w:spacing w:after="0"/>
        <w:jc w:val="both"/>
        <w:rPr>
          <w:rFonts w:eastAsia="Times New Roman" w:cs="Times New Roman"/>
          <w:color w:val="000000"/>
        </w:rPr>
      </w:pPr>
      <w:r>
        <w:rPr>
          <w:rFonts w:eastAsia="Calibri" w:cs="Calibri"/>
          <w:b/>
          <w:color w:val="auto"/>
          <w:sz w:val="28"/>
          <w:szCs w:val="28"/>
          <w:lang w:val="en-US" w:eastAsia="en-US"/>
        </w:rPr>
        <w:t>Action</w:t>
      </w:r>
    </w:p>
    <w:p w:rsidR="00595DDB" w:rsidRDefault="00595DDB" w:rsidP="00595DDB">
      <w:pPr>
        <w:shd w:val="clear" w:color="auto" w:fill="FFFFFF"/>
        <w:spacing w:after="0" w:line="240" w:lineRule="auto"/>
        <w:contextualSpacing/>
        <w:jc w:val="both"/>
        <w:rPr>
          <w:rFonts w:eastAsia="Times New Roman" w:cs="Times New Roman"/>
          <w:color w:val="000000"/>
        </w:rPr>
      </w:pPr>
    </w:p>
    <w:p w:rsidR="000B1C62" w:rsidRDefault="00595DDB" w:rsidP="00714A8E">
      <w:pPr>
        <w:spacing w:line="240" w:lineRule="auto"/>
        <w:jc w:val="both"/>
        <w:rPr>
          <w:color w:val="auto"/>
        </w:rPr>
      </w:pPr>
      <w:r>
        <w:rPr>
          <w:color w:val="auto"/>
        </w:rPr>
        <w:t xml:space="preserve">For </w:t>
      </w:r>
      <w:r w:rsidR="002B1106">
        <w:rPr>
          <w:color w:val="auto"/>
        </w:rPr>
        <w:t>information</w:t>
      </w:r>
      <w:r w:rsidR="00036547">
        <w:rPr>
          <w:color w:val="auto"/>
        </w:rPr>
        <w:t xml:space="preserve"> and </w:t>
      </w:r>
      <w:r w:rsidR="002B1106">
        <w:rPr>
          <w:color w:val="auto"/>
        </w:rPr>
        <w:t>comment</w:t>
      </w:r>
      <w:r>
        <w:rPr>
          <w:color w:val="auto"/>
        </w:rPr>
        <w:t xml:space="preserve">. </w:t>
      </w: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r>
        <w:rPr>
          <w:color w:val="auto"/>
        </w:rPr>
        <w:t>Prepared by: Tom Randolph</w:t>
      </w:r>
    </w:p>
    <w:p w:rsidR="000B1C62" w:rsidRDefault="00036547" w:rsidP="002B1106">
      <w:pPr>
        <w:spacing w:line="240" w:lineRule="auto"/>
        <w:jc w:val="both"/>
        <w:rPr>
          <w:color w:val="auto"/>
        </w:rPr>
      </w:pPr>
      <w:r>
        <w:rPr>
          <w:color w:val="auto"/>
        </w:rPr>
        <w:t xml:space="preserve">Date: </w:t>
      </w:r>
      <w:r w:rsidR="002B1106">
        <w:rPr>
          <w:color w:val="auto"/>
        </w:rPr>
        <w:t>7</w:t>
      </w:r>
      <w:r>
        <w:rPr>
          <w:color w:val="auto"/>
        </w:rPr>
        <w:t xml:space="preserve"> May</w:t>
      </w:r>
      <w:r w:rsidR="002B1106">
        <w:rPr>
          <w:color w:val="auto"/>
        </w:rPr>
        <w:t xml:space="preserve"> 2017</w:t>
      </w:r>
    </w:p>
    <w:sectPr w:rsidR="000B1C62" w:rsidSect="002B1106">
      <w:footerReference w:type="default" r:id="rId20"/>
      <w:headerReference w:type="first" r:id="rId21"/>
      <w:footerReference w:type="first" r:id="rId22"/>
      <w:pgSz w:w="11907" w:h="16839" w:code="9"/>
      <w:pgMar w:top="1440" w:right="1800" w:bottom="1440" w:left="1800"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99D" w:rsidRDefault="00B3099D" w:rsidP="003A2003">
      <w:r>
        <w:separator/>
      </w:r>
    </w:p>
  </w:endnote>
  <w:endnote w:type="continuationSeparator" w:id="0">
    <w:p w:rsidR="00B3099D" w:rsidRDefault="00B3099D"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jc w:val="center"/>
    </w:pPr>
    <w:r>
      <w:rPr>
        <w:noProof/>
        <w:lang w:eastAsia="en-GB"/>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B33DF1">
    <w:pPr>
      <w:pStyle w:val="Footer"/>
      <w:ind w:firstLine="180"/>
    </w:pPr>
    <w:r>
      <w:rPr>
        <w:noProof/>
        <w:lang w:eastAsia="en-GB"/>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pPr>
    <w:r>
      <w:ptab w:relativeTo="margin" w:alignment="right" w:leader="none"/>
    </w:r>
    <w:r>
      <w:fldChar w:fldCharType="begin"/>
    </w:r>
    <w:r>
      <w:instrText xml:space="preserve"> PAGE </w:instrText>
    </w:r>
    <w:r>
      <w:fldChar w:fldCharType="separate"/>
    </w:r>
    <w:r w:rsidR="00106679">
      <w:rPr>
        <w:noProof/>
      </w:rPr>
      <w:t>4</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99D" w:rsidRDefault="00B3099D" w:rsidP="003A2003">
      <w:r>
        <w:separator/>
      </w:r>
    </w:p>
  </w:footnote>
  <w:footnote w:type="continuationSeparator" w:id="0">
    <w:p w:rsidR="00B3099D" w:rsidRDefault="00B3099D"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967A10">
    <w:pPr>
      <w:pStyle w:val="Header"/>
      <w:ind w:hanging="1080"/>
    </w:pPr>
    <w:r>
      <w:rPr>
        <w:noProof/>
        <w:lang w:eastAsia="en-GB"/>
      </w:rPr>
      <w:drawing>
        <wp:inline distT="0" distB="0" distL="0" distR="0" wp14:anchorId="7693495E" wp14:editId="0B728E51">
          <wp:extent cx="7163303" cy="14478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ner.jpg"/>
                  <pic:cNvPicPr/>
                </pic:nvPicPr>
                <pic:blipFill>
                  <a:blip r:embed="rId1">
                    <a:extLst>
                      <a:ext uri="{28A0092B-C50C-407E-A947-70E740481C1C}">
                        <a14:useLocalDpi xmlns:a14="http://schemas.microsoft.com/office/drawing/2010/main" val="0"/>
                      </a:ext>
                    </a:extLst>
                  </a:blip>
                  <a:stretch>
                    <a:fillRect/>
                  </a:stretch>
                </pic:blipFill>
                <pic:spPr>
                  <a:xfrm>
                    <a:off x="0" y="0"/>
                    <a:ext cx="7177576" cy="145068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333DB"/>
    <w:multiLevelType w:val="hybridMultilevel"/>
    <w:tmpl w:val="08E6C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2"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3" w15:restartNumberingAfterBreak="0">
    <w:nsid w:val="29E901FB"/>
    <w:multiLevelType w:val="hybridMultilevel"/>
    <w:tmpl w:val="549E8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8E59DE"/>
    <w:multiLevelType w:val="hybridMultilevel"/>
    <w:tmpl w:val="C248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9322B1"/>
    <w:multiLevelType w:val="hybridMultilevel"/>
    <w:tmpl w:val="6A98B12C"/>
    <w:lvl w:ilvl="0" w:tplc="8C16BDE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073C75"/>
    <w:multiLevelType w:val="hybridMultilevel"/>
    <w:tmpl w:val="C19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3D6AC5"/>
    <w:multiLevelType w:val="hybridMultilevel"/>
    <w:tmpl w:val="A142D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F82D00"/>
    <w:multiLevelType w:val="hybridMultilevel"/>
    <w:tmpl w:val="2ECCA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9C252C"/>
    <w:multiLevelType w:val="hybridMultilevel"/>
    <w:tmpl w:val="34B6713A"/>
    <w:lvl w:ilvl="0" w:tplc="4DC0123E">
      <w:start w:val="3"/>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2E65D3A"/>
    <w:multiLevelType w:val="hybridMultilevel"/>
    <w:tmpl w:val="7FD22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325488A"/>
    <w:multiLevelType w:val="hybridMultilevel"/>
    <w:tmpl w:val="207A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7D287F"/>
    <w:multiLevelType w:val="hybridMultilevel"/>
    <w:tmpl w:val="4838EDD0"/>
    <w:lvl w:ilvl="0" w:tplc="438E2650">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2F70FE"/>
    <w:multiLevelType w:val="hybridMultilevel"/>
    <w:tmpl w:val="F6BE7BC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F7B5E7F"/>
    <w:multiLevelType w:val="hybridMultilevel"/>
    <w:tmpl w:val="D7FA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4"/>
  </w:num>
  <w:num w:numId="4">
    <w:abstractNumId w:val="11"/>
  </w:num>
  <w:num w:numId="5">
    <w:abstractNumId w:val="15"/>
  </w:num>
  <w:num w:numId="6">
    <w:abstractNumId w:val="6"/>
  </w:num>
  <w:num w:numId="7">
    <w:abstractNumId w:val="8"/>
  </w:num>
  <w:num w:numId="8">
    <w:abstractNumId w:val="13"/>
  </w:num>
  <w:num w:numId="9">
    <w:abstractNumId w:val="4"/>
  </w:num>
  <w:num w:numId="10">
    <w:abstractNumId w:val="5"/>
  </w:num>
  <w:num w:numId="11">
    <w:abstractNumId w:val="9"/>
  </w:num>
  <w:num w:numId="12">
    <w:abstractNumId w:val="0"/>
  </w:num>
  <w:num w:numId="13">
    <w:abstractNumId w:val="3"/>
  </w:num>
  <w:num w:numId="14">
    <w:abstractNumId w:val="7"/>
  </w:num>
  <w:num w:numId="15">
    <w:abstractNumId w:val="10"/>
  </w:num>
  <w:num w:numId="16">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175C3"/>
    <w:rsid w:val="00036547"/>
    <w:rsid w:val="00045666"/>
    <w:rsid w:val="00087025"/>
    <w:rsid w:val="00092D7E"/>
    <w:rsid w:val="000B1C62"/>
    <w:rsid w:val="000D279C"/>
    <w:rsid w:val="00106679"/>
    <w:rsid w:val="00115AFE"/>
    <w:rsid w:val="0012783B"/>
    <w:rsid w:val="00164973"/>
    <w:rsid w:val="00166A5E"/>
    <w:rsid w:val="001D293A"/>
    <w:rsid w:val="001D7753"/>
    <w:rsid w:val="001E3CC2"/>
    <w:rsid w:val="001E3E6A"/>
    <w:rsid w:val="00207CDA"/>
    <w:rsid w:val="0026769E"/>
    <w:rsid w:val="002A3049"/>
    <w:rsid w:val="002A4023"/>
    <w:rsid w:val="002B1106"/>
    <w:rsid w:val="002F0E1D"/>
    <w:rsid w:val="003521A2"/>
    <w:rsid w:val="003A2003"/>
    <w:rsid w:val="0040646D"/>
    <w:rsid w:val="004153B5"/>
    <w:rsid w:val="004507D2"/>
    <w:rsid w:val="00470571"/>
    <w:rsid w:val="004E04D1"/>
    <w:rsid w:val="00551417"/>
    <w:rsid w:val="00554E38"/>
    <w:rsid w:val="00571806"/>
    <w:rsid w:val="00595DDB"/>
    <w:rsid w:val="005D774A"/>
    <w:rsid w:val="005E1FA0"/>
    <w:rsid w:val="005E69A6"/>
    <w:rsid w:val="0063450C"/>
    <w:rsid w:val="006971E2"/>
    <w:rsid w:val="006E2BC3"/>
    <w:rsid w:val="006F7E38"/>
    <w:rsid w:val="00714A8E"/>
    <w:rsid w:val="00776420"/>
    <w:rsid w:val="00777630"/>
    <w:rsid w:val="00791FC5"/>
    <w:rsid w:val="007A6DDF"/>
    <w:rsid w:val="007B721E"/>
    <w:rsid w:val="007F33E6"/>
    <w:rsid w:val="00851F7A"/>
    <w:rsid w:val="00861FA9"/>
    <w:rsid w:val="00892BFC"/>
    <w:rsid w:val="008C0646"/>
    <w:rsid w:val="008D59CA"/>
    <w:rsid w:val="008F041A"/>
    <w:rsid w:val="008F61CE"/>
    <w:rsid w:val="0094003E"/>
    <w:rsid w:val="00945A4E"/>
    <w:rsid w:val="009476B6"/>
    <w:rsid w:val="00950436"/>
    <w:rsid w:val="00967A10"/>
    <w:rsid w:val="009928CE"/>
    <w:rsid w:val="00993E9E"/>
    <w:rsid w:val="009A568D"/>
    <w:rsid w:val="009A6803"/>
    <w:rsid w:val="00A11711"/>
    <w:rsid w:val="00A43E1B"/>
    <w:rsid w:val="00A463F0"/>
    <w:rsid w:val="00A60B0D"/>
    <w:rsid w:val="00AA2F43"/>
    <w:rsid w:val="00AC1248"/>
    <w:rsid w:val="00B10401"/>
    <w:rsid w:val="00B3099D"/>
    <w:rsid w:val="00B33DF1"/>
    <w:rsid w:val="00B419A4"/>
    <w:rsid w:val="00B63693"/>
    <w:rsid w:val="00B75138"/>
    <w:rsid w:val="00B93309"/>
    <w:rsid w:val="00B97D49"/>
    <w:rsid w:val="00BB177B"/>
    <w:rsid w:val="00BB1DB1"/>
    <w:rsid w:val="00BC1204"/>
    <w:rsid w:val="00BD50AA"/>
    <w:rsid w:val="00C5583E"/>
    <w:rsid w:val="00C76991"/>
    <w:rsid w:val="00CF6E31"/>
    <w:rsid w:val="00D051A4"/>
    <w:rsid w:val="00D05DB1"/>
    <w:rsid w:val="00D074A8"/>
    <w:rsid w:val="00D15B59"/>
    <w:rsid w:val="00D24022"/>
    <w:rsid w:val="00D87204"/>
    <w:rsid w:val="00D91316"/>
    <w:rsid w:val="00DB5BE1"/>
    <w:rsid w:val="00DB5EF1"/>
    <w:rsid w:val="00DE7356"/>
    <w:rsid w:val="00EA372F"/>
    <w:rsid w:val="00EA483C"/>
    <w:rsid w:val="00EC29A2"/>
    <w:rsid w:val="00EF708F"/>
    <w:rsid w:val="00F06C16"/>
    <w:rsid w:val="00F6569A"/>
    <w:rsid w:val="00F90F49"/>
    <w:rsid w:val="00F92660"/>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nhideWhenUsed/>
    <w:qFormat/>
    <w:rsid w:val="00776420"/>
    <w:pPr>
      <w:outlineLvl w:val="4"/>
    </w:pPr>
    <w:rPr>
      <w:i/>
      <w:color w:val="A5A5A5" w:themeColor="accent1" w:themeShade="BF"/>
    </w:rPr>
  </w:style>
  <w:style w:type="paragraph" w:styleId="Heading6">
    <w:name w:val="heading 6"/>
    <w:basedOn w:val="Normal"/>
    <w:next w:val="Normal"/>
    <w:link w:val="Heading6Char"/>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3"/>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iPriority w:val="99"/>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table" w:customStyle="1" w:styleId="TableNormal1">
    <w:name w:val="Table Normal1"/>
    <w:rsid w:val="004E04D1"/>
    <w:pPr>
      <w:spacing w:after="0"/>
    </w:pPr>
    <w:rPr>
      <w:rFonts w:ascii="Arial" w:eastAsia="Arial" w:hAnsi="Arial" w:cs="Arial"/>
      <w:color w:val="000000"/>
      <w:lang w:val="de-DE" w:eastAsia="de-DE"/>
    </w:rPr>
    <w:tblPr>
      <w:tblCellMar>
        <w:top w:w="0" w:type="dxa"/>
        <w:left w:w="0" w:type="dxa"/>
        <w:bottom w:w="0" w:type="dxa"/>
        <w:right w:w="0" w:type="dxa"/>
      </w:tblCellMar>
    </w:tblPr>
  </w:style>
  <w:style w:type="table" w:customStyle="1" w:styleId="13">
    <w:name w:val="13"/>
    <w:basedOn w:val="TableNormal1"/>
    <w:rsid w:val="004E04D1"/>
    <w:tblPr>
      <w:tblStyleRowBandSize w:val="1"/>
      <w:tblStyleColBandSize w:val="1"/>
    </w:tblPr>
  </w:style>
  <w:style w:type="table" w:customStyle="1" w:styleId="12">
    <w:name w:val="12"/>
    <w:basedOn w:val="TableNormal1"/>
    <w:rsid w:val="004E04D1"/>
    <w:tblPr>
      <w:tblStyleRowBandSize w:val="1"/>
      <w:tblStyleColBandSize w:val="1"/>
    </w:tblPr>
  </w:style>
  <w:style w:type="table" w:customStyle="1" w:styleId="11">
    <w:name w:val="11"/>
    <w:basedOn w:val="TableNormal1"/>
    <w:rsid w:val="004E04D1"/>
    <w:tblPr>
      <w:tblStyleRowBandSize w:val="1"/>
      <w:tblStyleColBandSize w:val="1"/>
    </w:tblPr>
  </w:style>
  <w:style w:type="table" w:customStyle="1" w:styleId="10">
    <w:name w:val="10"/>
    <w:basedOn w:val="TableNormal1"/>
    <w:rsid w:val="004E04D1"/>
    <w:tblPr>
      <w:tblStyleRowBandSize w:val="1"/>
      <w:tblStyleColBandSize w:val="1"/>
    </w:tblPr>
  </w:style>
  <w:style w:type="table" w:customStyle="1" w:styleId="9">
    <w:name w:val="9"/>
    <w:basedOn w:val="TableNormal1"/>
    <w:rsid w:val="004E04D1"/>
    <w:tblPr>
      <w:tblStyleRowBandSize w:val="1"/>
      <w:tblStyleColBandSize w:val="1"/>
    </w:tblPr>
  </w:style>
  <w:style w:type="table" w:customStyle="1" w:styleId="8">
    <w:name w:val="8"/>
    <w:basedOn w:val="TableNormal1"/>
    <w:rsid w:val="004E04D1"/>
    <w:tblPr>
      <w:tblStyleRowBandSize w:val="1"/>
      <w:tblStyleColBandSize w:val="1"/>
    </w:tblPr>
  </w:style>
  <w:style w:type="table" w:customStyle="1" w:styleId="7">
    <w:name w:val="7"/>
    <w:basedOn w:val="TableNormal1"/>
    <w:rsid w:val="004E04D1"/>
    <w:tblPr>
      <w:tblStyleRowBandSize w:val="1"/>
      <w:tblStyleColBandSize w:val="1"/>
    </w:tblPr>
  </w:style>
  <w:style w:type="table" w:customStyle="1" w:styleId="6">
    <w:name w:val="6"/>
    <w:basedOn w:val="TableNormal1"/>
    <w:rsid w:val="004E04D1"/>
    <w:tblPr>
      <w:tblStyleRowBandSize w:val="1"/>
      <w:tblStyleColBandSize w:val="1"/>
    </w:tblPr>
  </w:style>
  <w:style w:type="table" w:customStyle="1" w:styleId="5">
    <w:name w:val="5"/>
    <w:basedOn w:val="TableNormal1"/>
    <w:rsid w:val="004E04D1"/>
    <w:tblPr>
      <w:tblStyleRowBandSize w:val="1"/>
      <w:tblStyleColBandSize w:val="1"/>
    </w:tblPr>
  </w:style>
  <w:style w:type="table" w:customStyle="1" w:styleId="4">
    <w:name w:val="4"/>
    <w:basedOn w:val="TableNormal1"/>
    <w:rsid w:val="004E04D1"/>
    <w:tblPr>
      <w:tblStyleRowBandSize w:val="1"/>
      <w:tblStyleColBandSize w:val="1"/>
    </w:tblPr>
  </w:style>
  <w:style w:type="table" w:customStyle="1" w:styleId="3">
    <w:name w:val="3"/>
    <w:basedOn w:val="TableNormal1"/>
    <w:rsid w:val="004E04D1"/>
    <w:tblPr>
      <w:tblStyleRowBandSize w:val="1"/>
      <w:tblStyleColBandSize w:val="1"/>
    </w:tblPr>
  </w:style>
  <w:style w:type="table" w:customStyle="1" w:styleId="2">
    <w:name w:val="2"/>
    <w:basedOn w:val="TableNormal1"/>
    <w:rsid w:val="004E04D1"/>
    <w:tblPr>
      <w:tblStyleRowBandSize w:val="1"/>
      <w:tblStyleColBandSize w:val="1"/>
    </w:tblPr>
  </w:style>
  <w:style w:type="table" w:customStyle="1" w:styleId="1">
    <w:name w:val="1"/>
    <w:basedOn w:val="TableNormal1"/>
    <w:rsid w:val="004E04D1"/>
    <w:tblPr>
      <w:tblStyleRowBandSize w:val="1"/>
      <w:tblStyleColBandSize w:val="1"/>
    </w:tblPr>
  </w:style>
  <w:style w:type="paragraph" w:styleId="CommentText">
    <w:name w:val="annotation text"/>
    <w:basedOn w:val="Normal"/>
    <w:link w:val="Comment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CommentTextChar">
    <w:name w:val="Comment Text Char"/>
    <w:basedOn w:val="DefaultParagraphFont"/>
    <w:link w:val="CommentText"/>
    <w:uiPriority w:val="99"/>
    <w:semiHidden/>
    <w:rsid w:val="004E04D1"/>
    <w:rPr>
      <w:rFonts w:ascii="Arial" w:eastAsia="Arial" w:hAnsi="Arial" w:cs="Arial"/>
      <w:color w:val="000000"/>
      <w:sz w:val="20"/>
      <w:szCs w:val="20"/>
      <w:lang w:val="de-DE" w:eastAsia="de-DE"/>
    </w:rPr>
  </w:style>
  <w:style w:type="character" w:styleId="CommentReference">
    <w:name w:val="annotation reference"/>
    <w:basedOn w:val="DefaultParagraphFont"/>
    <w:uiPriority w:val="99"/>
    <w:semiHidden/>
    <w:unhideWhenUsed/>
    <w:rsid w:val="004E04D1"/>
    <w:rPr>
      <w:sz w:val="16"/>
      <w:szCs w:val="16"/>
    </w:rPr>
  </w:style>
  <w:style w:type="paragraph" w:styleId="Revision">
    <w:name w:val="Revision"/>
    <w:hidden/>
    <w:uiPriority w:val="99"/>
    <w:semiHidden/>
    <w:rsid w:val="004E04D1"/>
    <w:pPr>
      <w:spacing w:after="0" w:line="240" w:lineRule="auto"/>
    </w:pPr>
    <w:rPr>
      <w:rFonts w:ascii="Arial" w:eastAsia="Arial" w:hAnsi="Arial" w:cs="Arial"/>
      <w:color w:val="000000"/>
      <w:lang w:val="de-DE" w:eastAsia="de-DE"/>
    </w:rPr>
  </w:style>
  <w:style w:type="paragraph" w:customStyle="1" w:styleId="Funotentext1">
    <w:name w:val="Fußnotentext1"/>
    <w:basedOn w:val="Normal"/>
    <w:next w:val="FootnoteText"/>
    <w:link w:val="FunotentextZchn"/>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unotentextZchn">
    <w:name w:val="Fußnotentext Zchn"/>
    <w:basedOn w:val="DefaultParagraphFont"/>
    <w:link w:val="Funotentext1"/>
    <w:uiPriority w:val="99"/>
    <w:semiHidden/>
    <w:rsid w:val="004E04D1"/>
    <w:rPr>
      <w:rFonts w:ascii="Arial" w:eastAsia="Arial" w:hAnsi="Arial" w:cs="Arial"/>
      <w:color w:val="000000"/>
      <w:sz w:val="20"/>
      <w:szCs w:val="20"/>
      <w:lang w:val="de-DE" w:eastAsia="de-DE"/>
    </w:rPr>
  </w:style>
  <w:style w:type="character" w:styleId="FootnoteReference">
    <w:name w:val="footnote reference"/>
    <w:basedOn w:val="DefaultParagraphFont"/>
    <w:uiPriority w:val="99"/>
    <w:semiHidden/>
    <w:unhideWhenUsed/>
    <w:rsid w:val="004E04D1"/>
    <w:rPr>
      <w:vertAlign w:val="superscript"/>
    </w:rPr>
  </w:style>
  <w:style w:type="paragraph" w:styleId="FootnoteText">
    <w:name w:val="footnote text"/>
    <w:basedOn w:val="Normal"/>
    <w:link w:val="Footnote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ootnoteTextChar">
    <w:name w:val="Footnote Text Char"/>
    <w:basedOn w:val="DefaultParagraphFont"/>
    <w:link w:val="FootnoteText"/>
    <w:uiPriority w:val="99"/>
    <w:semiHidden/>
    <w:rsid w:val="004E04D1"/>
    <w:rPr>
      <w:rFonts w:ascii="Arial" w:eastAsia="Arial" w:hAnsi="Arial" w:cs="Arial"/>
      <w:color w:val="000000"/>
      <w:sz w:val="20"/>
      <w:szCs w:val="20"/>
      <w:lang w:val="de-DE" w:eastAsia="de-DE"/>
    </w:rPr>
  </w:style>
  <w:style w:type="character" w:customStyle="1" w:styleId="apple-converted-space">
    <w:name w:val="apple-converted-space"/>
    <w:basedOn w:val="DefaultParagraphFont"/>
    <w:rsid w:val="004E04D1"/>
  </w:style>
  <w:style w:type="paragraph" w:styleId="CommentSubject">
    <w:name w:val="annotation subject"/>
    <w:basedOn w:val="CommentText"/>
    <w:next w:val="CommentText"/>
    <w:link w:val="CommentSubjectChar"/>
    <w:uiPriority w:val="99"/>
    <w:semiHidden/>
    <w:unhideWhenUsed/>
    <w:rsid w:val="004E04D1"/>
    <w:rPr>
      <w:b/>
      <w:bCs/>
    </w:rPr>
  </w:style>
  <w:style w:type="character" w:customStyle="1" w:styleId="CommentSubjectChar">
    <w:name w:val="Comment Subject Char"/>
    <w:basedOn w:val="CommentTextChar"/>
    <w:link w:val="CommentSubject"/>
    <w:uiPriority w:val="99"/>
    <w:semiHidden/>
    <w:rsid w:val="004E04D1"/>
    <w:rPr>
      <w:rFonts w:ascii="Arial" w:eastAsia="Arial" w:hAnsi="Arial" w:cs="Arial"/>
      <w:b/>
      <w:bCs/>
      <w:color w:val="000000"/>
      <w:sz w:val="20"/>
      <w:szCs w:val="20"/>
      <w:lang w:val="de-DE" w:eastAsia="de-DE"/>
    </w:rPr>
  </w:style>
  <w:style w:type="character" w:customStyle="1" w:styleId="s1">
    <w:name w:val="s1"/>
    <w:basedOn w:val="DefaultParagraphFont"/>
    <w:rsid w:val="004E04D1"/>
  </w:style>
  <w:style w:type="paragraph" w:customStyle="1" w:styleId="Default">
    <w:name w:val="Default"/>
    <w:rsid w:val="004153B5"/>
    <w:pPr>
      <w:autoSpaceDE w:val="0"/>
      <w:autoSpaceDN w:val="0"/>
      <w:adjustRightInd w:val="0"/>
      <w:spacing w:after="0" w:line="240" w:lineRule="auto"/>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459344675">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B4E234-0F09-44B4-A1AD-47A82FA07134}">
  <ds:schemaRefs>
    <ds:schemaRef ds:uri="http://schemas.microsoft.com/office/2006/metadata/properties"/>
    <ds:schemaRef ds:uri="http://purl.org/dc/elements/1.1/"/>
    <ds:schemaRef ds:uri="http://schemas.microsoft.com/office/2006/documentManagement/types"/>
    <ds:schemaRef ds:uri="9f5e9607-a28b-487e-b093-da60e75ee109"/>
    <ds:schemaRef ds:uri="http://schemas.microsoft.com/office/infopath/2007/PartnerControls"/>
    <ds:schemaRef ds:uri="http://schemas.openxmlformats.org/package/2006/metadata/core-propertie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4.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EAEE569-5D21-4249-8793-C93AA3C21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1545</Words>
  <Characters>8813</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10338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2017-05-08T12:26:00Z</dcterms:created>
  <dcterms:modified xsi:type="dcterms:W3CDTF">2017-05-08T12:26:00Z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